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1</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06268"/>
      <w:bookmarkStart w:id="7" w:name="_Toc15378442"/>
      <w:bookmarkStart w:id="8" w:name="_Toc15396598"/>
      <w:bookmarkStart w:id="9" w:name="_Toc15377194"/>
      <w:bookmarkStart w:id="10" w:name="_Toc15377426"/>
      <w:bookmarkStart w:id="11" w:name="_Toc15396476"/>
      <w:r>
        <w:rPr>
          <w:rFonts w:hint="eastAsia" w:ascii="方正小标宋简体" w:hAnsi="宋体" w:eastAsia="方正小标宋简体"/>
          <w:color w:val="000000"/>
          <w:sz w:val="72"/>
          <w:szCs w:val="72"/>
          <w:lang w:eastAsia="zh-CN"/>
        </w:rPr>
        <w:t>广安市人民检察院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highlight w:val="none"/>
        </w:rPr>
      </w:pPr>
      <w:r>
        <w:rPr>
          <w:rFonts w:hint="eastAsia"/>
          <w:highlight w:val="none"/>
        </w:rPr>
        <w:t>公开时间：202</w:t>
      </w:r>
      <w:r>
        <w:rPr>
          <w:rFonts w:hint="eastAsia"/>
          <w:highlight w:val="none"/>
          <w:lang w:val="en-US" w:eastAsia="zh-CN"/>
        </w:rPr>
        <w:t>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4</w:t>
      </w:r>
      <w:r>
        <w:rPr>
          <w:rFonts w:hint="eastAsia"/>
          <w:highlight w:val="none"/>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ascii="仿宋" w:hAnsi="仿宋" w:eastAsia="仿宋" w:cs="Times New Roman"/>
          <w:bCs/>
          <w:color w:val="000000"/>
          <w:kern w:val="0"/>
          <w:sz w:val="28"/>
          <w:szCs w:val="28"/>
          <w:lang w:val="en-US" w:eastAsia="zh-CN" w:bidi="ar-SA"/>
        </w:rPr>
        <w:tab/>
      </w:r>
      <w:bookmarkStart w:id="12" w:name="_Toc7050_WPSOffice_Level1Page"/>
      <w:bookmarkStart w:id="74" w:name="_GoBack"/>
      <w:bookmarkEnd w:id="74"/>
      <w:r>
        <w:rPr>
          <w:rFonts w:hint="eastAsia" w:ascii="仿宋" w:hAnsi="仿宋" w:eastAsia="仿宋" w:cs="Times New Roman"/>
          <w:bCs/>
          <w:color w:val="000000"/>
          <w:kern w:val="0"/>
          <w:sz w:val="24"/>
          <w:szCs w:val="24"/>
          <w:lang w:val="en-US" w:eastAsia="zh-CN" w:bidi="ar-SA"/>
        </w:rPr>
        <w:t>4</w:t>
      </w:r>
      <w:bookmarkEnd w:id="12"/>
    </w:p>
    <w:p>
      <w:pPr>
        <w:pStyle w:val="11"/>
        <w:adjustRightInd w:val="0"/>
        <w:snapToGrid w:val="0"/>
        <w:spacing w:line="440" w:lineRule="exact"/>
        <w:jc w:val="left"/>
        <w:rPr>
          <w:rFonts w:ascii="仿宋" w:hAnsi="仿宋" w:eastAsia="仿宋"/>
          <w:sz w:val="24"/>
        </w:rPr>
      </w:pPr>
      <w:r>
        <w:rPr>
          <w:rFonts w:hint="eastAsia"/>
          <w:sz w:val="24"/>
        </w:rPr>
        <w:t>一、基本职能及主要工作</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7</w:t>
      </w:r>
    </w:p>
    <w:p>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r>
        <w:rPr>
          <w:rFonts w:hint="eastAsia"/>
          <w:sz w:val="24"/>
        </w:rPr>
        <w:t>部门决算情况说明</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4"/>
          <w:szCs w:val="24"/>
          <w:lang w:val="en-US" w:eastAsia="zh-CN" w:bidi="ar-SA"/>
        </w:rPr>
        <w:t>8</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8</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8</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9</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9</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9</w:t>
      </w:r>
    </w:p>
    <w:p>
      <w:pPr>
        <w:pStyle w:val="11"/>
        <w:adjustRightInd w:val="0"/>
        <w:snapToGrid w:val="0"/>
        <w:spacing w:line="440" w:lineRule="exact"/>
        <w:jc w:val="left"/>
        <w:rPr>
          <w:rFonts w:hint="default"/>
          <w:sz w:val="24"/>
          <w:lang w:val="en-US"/>
        </w:rPr>
      </w:pPr>
      <w:r>
        <w:rPr>
          <w:rFonts w:hint="eastAsia"/>
          <w:sz w:val="24"/>
        </w:rPr>
        <w:t>六、一般公共预算财政拨款基本支出决算情况说明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11</w:t>
      </w:r>
    </w:p>
    <w:p>
      <w:pPr>
        <w:pStyle w:val="11"/>
        <w:adjustRightInd w:val="0"/>
        <w:snapToGrid w:val="0"/>
        <w:spacing w:line="440" w:lineRule="exact"/>
        <w:jc w:val="left"/>
        <w:rPr>
          <w:rFonts w:hint="default"/>
          <w:lang w:val="en-US"/>
        </w:rPr>
      </w:pPr>
      <w:r>
        <w:rPr>
          <w:rFonts w:hint="eastAsia"/>
          <w:sz w:val="24"/>
          <w:lang w:eastAsia="zh-CN"/>
        </w:rPr>
        <w:t>七</w:t>
      </w:r>
      <w:r>
        <w:rPr>
          <w:rFonts w:hint="eastAsia"/>
          <w:sz w:val="24"/>
        </w:rPr>
        <w:t>、一般公共预算财政拨款</w:t>
      </w:r>
      <w:r>
        <w:rPr>
          <w:rFonts w:hint="eastAsia"/>
          <w:sz w:val="24"/>
          <w:lang w:eastAsia="zh-CN"/>
        </w:rPr>
        <w:t>项目</w:t>
      </w:r>
      <w:r>
        <w:rPr>
          <w:rFonts w:hint="eastAsia"/>
          <w:sz w:val="24"/>
        </w:rPr>
        <w:t>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12</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lang w:eastAsia="zh-CN"/>
        </w:rPr>
        <w:t>八</w:t>
      </w:r>
      <w:r>
        <w:rPr>
          <w:rFonts w:hint="eastAsia"/>
          <w:sz w:val="24"/>
        </w:rPr>
        <w:t>、</w:t>
      </w:r>
      <w:r>
        <w:rPr>
          <w:sz w:val="24"/>
        </w:rPr>
        <w:t>“</w:t>
      </w:r>
      <w:r>
        <w:rPr>
          <w:rFonts w:hint="eastAsia"/>
          <w:sz w:val="24"/>
        </w:rPr>
        <w:t>三公”经费财政拨款支出决算情况说明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13</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lang w:eastAsia="zh-CN"/>
        </w:rPr>
        <w:t>九</w:t>
      </w:r>
      <w:r>
        <w:rPr>
          <w:rFonts w:hint="eastAsia"/>
          <w:sz w:val="24"/>
        </w:rPr>
        <w:t>、政府性基金预算支出决算情况说明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15</w:t>
      </w:r>
    </w:p>
    <w:p>
      <w:pPr>
        <w:pStyle w:val="11"/>
        <w:adjustRightInd w:val="0"/>
        <w:snapToGrid w:val="0"/>
        <w:spacing w:line="440" w:lineRule="exact"/>
        <w:ind w:leftChars="0"/>
        <w:jc w:val="left"/>
        <w:rPr>
          <w:rFonts w:hint="default" w:ascii="仿宋" w:hAnsi="仿宋" w:eastAsia="仿宋"/>
          <w:sz w:val="24"/>
          <w:lang w:val="en-US"/>
        </w:rPr>
      </w:pPr>
      <w:r>
        <w:rPr>
          <w:rFonts w:hint="eastAsia" w:ascii="仿宋" w:hAnsi="仿宋" w:eastAsia="仿宋"/>
          <w:sz w:val="24"/>
          <w:lang w:eastAsia="zh-CN"/>
        </w:rPr>
        <w:t>十</w:t>
      </w:r>
      <w:r>
        <w:rPr>
          <w:rFonts w:hint="eastAsia" w:ascii="仿宋" w:hAnsi="仿宋" w:eastAsia="仿宋"/>
          <w:sz w:val="24"/>
        </w:rPr>
        <w:t>、</w:t>
      </w:r>
      <w:r>
        <w:rPr>
          <w:sz w:val="24"/>
        </w:rPr>
        <w:t xml:space="preserve"> 国</w:t>
      </w:r>
      <w:r>
        <w:rPr>
          <w:rFonts w:hint="eastAsia"/>
          <w:sz w:val="24"/>
        </w:rPr>
        <w:t>有资本经营预算支出决算情况说明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15</w:t>
      </w:r>
    </w:p>
    <w:p>
      <w:pPr>
        <w:pStyle w:val="11"/>
        <w:adjustRightInd w:val="0"/>
        <w:snapToGrid w:val="0"/>
        <w:spacing w:line="440" w:lineRule="exact"/>
        <w:jc w:val="left"/>
        <w:rPr>
          <w:rFonts w:hint="default"/>
          <w:sz w:val="24"/>
          <w:lang w:val="en-US" w:eastAsia="zh-CN"/>
        </w:rPr>
      </w:pPr>
      <w:r>
        <w:rPr>
          <w:rFonts w:hint="eastAsia"/>
          <w:sz w:val="24"/>
          <w:lang w:eastAsia="zh-CN"/>
        </w:rPr>
        <w:t>十一、其他重要事项的情况说明</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15</w:t>
      </w:r>
    </w:p>
    <w:p>
      <w:pPr>
        <w:pStyle w:val="10"/>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4"/>
          <w:szCs w:val="24"/>
          <w:lang w:val="en-US" w:eastAsia="zh-CN" w:bidi="ar-SA"/>
        </w:rPr>
        <w:t>25</w:t>
      </w:r>
    </w:p>
    <w:p>
      <w:pPr>
        <w:pStyle w:val="10"/>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4"/>
          <w:szCs w:val="24"/>
          <w:lang w:val="en-US" w:eastAsia="zh-CN" w:bidi="ar-SA"/>
        </w:rPr>
        <w:t>28</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附件</w:t>
      </w:r>
      <w:r>
        <w:rPr>
          <w:sz w:val="24"/>
        </w:rPr>
        <w:t>1</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28</w:t>
      </w:r>
    </w:p>
    <w:p>
      <w:pPr>
        <w:pStyle w:val="11"/>
        <w:adjustRightInd w:val="0"/>
        <w:snapToGrid w:val="0"/>
        <w:spacing w:line="440" w:lineRule="exact"/>
        <w:jc w:val="left"/>
        <w:rPr>
          <w:rFonts w:hint="eastAsia" w:ascii="仿宋" w:hAnsi="仿宋" w:eastAsia="仿宋" w:cs="Times New Roman"/>
          <w:bCs/>
          <w:color w:val="000000"/>
          <w:kern w:val="0"/>
          <w:sz w:val="24"/>
          <w:szCs w:val="24"/>
          <w:lang w:val="en-US" w:eastAsia="zh-CN" w:bidi="ar-SA"/>
        </w:rPr>
      </w:pPr>
      <w:r>
        <w:rPr>
          <w:rFonts w:hint="eastAsia"/>
          <w:sz w:val="24"/>
        </w:rPr>
        <w:t>附件</w:t>
      </w:r>
      <w:r>
        <w:rPr>
          <w:sz w:val="24"/>
        </w:rPr>
        <w:t>2</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32</w:t>
      </w:r>
    </w:p>
    <w:p>
      <w:pPr>
        <w:pStyle w:val="11"/>
        <w:adjustRightInd w:val="0"/>
        <w:snapToGrid w:val="0"/>
        <w:spacing w:line="440" w:lineRule="exact"/>
        <w:jc w:val="left"/>
        <w:rPr>
          <w:rFonts w:hint="default" w:eastAsia="宋体"/>
          <w:lang w:val="en-US" w:eastAsia="zh-CN"/>
        </w:rPr>
      </w:pPr>
      <w:r>
        <w:rPr>
          <w:rFonts w:hint="eastAsia"/>
          <w:sz w:val="24"/>
        </w:rPr>
        <w:t>附件</w:t>
      </w:r>
      <w:r>
        <w:rPr>
          <w:rFonts w:hint="eastAsia"/>
          <w:sz w:val="24"/>
          <w:lang w:val="en-US" w:eastAsia="zh-CN"/>
        </w:rPr>
        <w:t>3</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44</w:t>
      </w:r>
    </w:p>
    <w:p>
      <w:pPr>
        <w:pStyle w:val="10"/>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仿宋" w:hAnsi="仿宋" w:eastAsia="仿宋" w:cs="Times New Roman"/>
          <w:bCs/>
          <w:color w:val="000000"/>
          <w:kern w:val="0"/>
          <w:sz w:val="28"/>
          <w:szCs w:val="28"/>
          <w:lang w:val="en-US" w:eastAsia="zh-CN" w:bidi="ar-SA"/>
        </w:rPr>
        <w:tab/>
      </w:r>
      <w:r>
        <w:rPr>
          <w:rFonts w:hint="eastAsia"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二、</w:t>
      </w:r>
      <w:r>
        <w:rPr>
          <w:rFonts w:hint="eastAsia"/>
          <w:sz w:val="24"/>
        </w:rPr>
        <w:t>收入决算表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三、</w:t>
      </w:r>
      <w:r>
        <w:rPr>
          <w:rFonts w:hint="eastAsia"/>
          <w:sz w:val="24"/>
        </w:rPr>
        <w:t>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四、</w:t>
      </w:r>
      <w:r>
        <w:rPr>
          <w:rFonts w:hint="eastAsia"/>
          <w:sz w:val="24"/>
        </w:rPr>
        <w:t>财政拨款收入支出决算总表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五、</w:t>
      </w:r>
      <w:r>
        <w:rPr>
          <w:rFonts w:hint="eastAsia"/>
          <w:sz w:val="24"/>
        </w:rPr>
        <w:t>财政拨款支出决算明细表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六、</w:t>
      </w:r>
      <w:r>
        <w:rPr>
          <w:rFonts w:hint="eastAsia"/>
          <w:sz w:val="24"/>
        </w:rPr>
        <w:t>一般公共预算财政拨款支出决算表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七、</w:t>
      </w:r>
      <w:r>
        <w:rPr>
          <w:rFonts w:hint="eastAsia"/>
          <w:sz w:val="24"/>
        </w:rPr>
        <w:t>一般公共预算财政拨款支出决算明细表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八、</w:t>
      </w:r>
      <w:r>
        <w:rPr>
          <w:rFonts w:hint="eastAsia"/>
          <w:sz w:val="24"/>
        </w:rPr>
        <w:t>一般公共预算财政拨款基本支出决算表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九、</w:t>
      </w:r>
      <w:r>
        <w:rPr>
          <w:rFonts w:hint="eastAsia"/>
          <w:sz w:val="24"/>
        </w:rPr>
        <w:t>一般公共预算财政拨款项目支出决算表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w:t>
      </w:r>
      <w:r>
        <w:rPr>
          <w:rFonts w:hint="eastAsia"/>
          <w:sz w:val="24"/>
        </w:rPr>
        <w:t>一般公共预算财政拨款“三公”经费支出决算表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十一、</w:t>
      </w:r>
      <w:r>
        <w:rPr>
          <w:rFonts w:hint="eastAsia"/>
          <w:sz w:val="24"/>
        </w:rPr>
        <w:t>政府性基金预算财政拨款收入支出决算表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十二、</w:t>
      </w:r>
      <w:r>
        <w:rPr>
          <w:rFonts w:hint="eastAsia"/>
          <w:sz w:val="24"/>
        </w:rPr>
        <w:t>政府性基金预算财政拨款“三公”经费支出决算表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十三、</w:t>
      </w:r>
      <w:r>
        <w:rPr>
          <w:rFonts w:hint="eastAsia"/>
          <w:sz w:val="24"/>
        </w:rPr>
        <w:t>国有资本经营预算财政拨款收入支出决算表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十四、</w:t>
      </w:r>
      <w:r>
        <w:rPr>
          <w:rFonts w:hint="eastAsia"/>
          <w:sz w:val="24"/>
        </w:rPr>
        <w:t>国有资本经营预算财政拨款支出决算表</w:t>
      </w:r>
      <w:r>
        <w:rPr>
          <w:rFonts w:hint="eastAsia" w:ascii="仿宋" w:hAnsi="仿宋" w:eastAsia="仿宋" w:cs="Times New Roman"/>
          <w:bCs/>
          <w:color w:val="000000"/>
          <w:kern w:val="0"/>
          <w:sz w:val="28"/>
          <w:szCs w:val="28"/>
          <w:lang w:val="en-US" w:eastAsia="zh-CN" w:bidi="ar-SA"/>
        </w:rPr>
        <w:tab/>
      </w:r>
      <w:r>
        <w:rPr>
          <w:rFonts w:hint="eastAsia" w:ascii="仿宋" w:hAnsi="仿宋" w:eastAsia="仿宋" w:cs="Times New Roman"/>
          <w:bCs/>
          <w:color w:val="000000"/>
          <w:kern w:val="0"/>
          <w:sz w:val="24"/>
          <w:szCs w:val="24"/>
          <w:lang w:val="en-US" w:eastAsia="zh-CN" w:bidi="ar-SA"/>
        </w:rPr>
        <w:t>46</w:t>
      </w:r>
    </w:p>
    <w:p>
      <w:pPr>
        <w:widowControl/>
        <w:spacing w:line="440" w:lineRule="exact"/>
        <w:jc w:val="left"/>
        <w:rPr>
          <w:rFonts w:ascii="仿宋" w:hAnsi="仿宋" w:eastAsia="仿宋"/>
          <w:bCs/>
          <w:kern w:val="44"/>
          <w:sz w:val="24"/>
        </w:rPr>
      </w:pPr>
      <w:bookmarkStart w:id="13" w:name="_Toc15396599"/>
      <w:bookmarkStart w:id="14"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4"/>
        <w:rPr>
          <w:rStyle w:val="26"/>
          <w:rFonts w:ascii="仿宋" w:hAnsi="仿宋" w:eastAsia="仿宋"/>
          <w:b w:val="0"/>
          <w:bCs w:val="0"/>
        </w:rPr>
      </w:pPr>
      <w:bookmarkStart w:id="15" w:name="_Toc15396600"/>
      <w:bookmarkStart w:id="16"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5"/>
      <w:bookmarkEnd w:id="16"/>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line="30" w:lineRule="atLeast"/>
        <w:ind w:right="0" w:firstLine="640" w:firstLineChars="200"/>
        <w:rPr>
          <w:rFonts w:hint="eastAsia" w:ascii="仿宋" w:hAnsi="仿宋" w:eastAsia="仿宋"/>
          <w:bCs/>
          <w:color w:val="000000"/>
          <w:sz w:val="32"/>
          <w:szCs w:val="32"/>
        </w:rPr>
      </w:pPr>
      <w:bookmarkStart w:id="17" w:name="_Toc15378445"/>
      <w:bookmarkStart w:id="18" w:name="_Toc15377198"/>
      <w:r>
        <w:rPr>
          <w:rFonts w:hint="eastAsia" w:ascii="仿宋" w:hAnsi="仿宋" w:eastAsia="仿宋"/>
          <w:bCs/>
          <w:color w:val="000000"/>
          <w:sz w:val="32"/>
          <w:szCs w:val="32"/>
        </w:rPr>
        <w:t>（一）主要职能。</w:t>
      </w:r>
      <w:bookmarkEnd w:id="17"/>
      <w:bookmarkEnd w:id="1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依法向广安市人民代表大会及其常务委员会提出议案。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3</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领导本市辖区内县级人民检察院工作，对相关业务进行指导。研究制定全市检察工作总体规划，部署检察工作任务。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4</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依照法律规定对广安市人民检察院直接受理的刑事案件行使侦查权，领导本市辖区内县级人民检察院开展对依照法律规定由人民检察院直接受理的刑事案件的侦查工作。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5</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对本市辖区内的重大刑事案件依法审查批准逮捕、决定逮捕、提起公诉，领导本市辖区内县级人民检察院开展对刑事犯罪案件的审查批准逮捕、决定逮捕、提起公诉工作。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6</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负责应由广安市人民检察院承办的刑事、民事、行政诉讼活动及刑事、民事、行政判决和裁定等生效法律文书执行的法律监督工作，领导本市辖区内县级人民检察院对刑事、民事、行政诉讼活动及判决和裁定等生效法律文书执行的法律监督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7</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负责应由广安市人民检察院承办的提起公益诉讼工作，领导本市辖区内县级人民检察院开展提起公益诉讼工作。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8</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负责应由广安市人民检察院承办的对看守所等执法活动的法律监督工作，领导本市辖区内县级人民检察院开展对看守所等执法活动的法律监督工作。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9</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受理向广安市人民检察院的控告申诉，领导本市辖区内县级人民检察院的控告申诉检察工作。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10</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对本市辖区内县级人民检察院在行使检察权中作出的决定进行审查，纠正错误决定。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指导全市检察机关的理论研究工作。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12</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负责全市检察机关队伍建设和思想政治工作。领导本市辖区内县级人民检察院依法管理检察官及其他检察人员的工作，制定相关人员管理办法，组织指导全市检察机关教育培训工作。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13</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协同省委主管部门、省检察院管理和考核本市辖区内县级人民检察院检察长，协同省检察院、市委主管部门管理和考核本市辖区内县级人民检察院除检察长以外的其他领导班子成员。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14</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领导本市辖区内县级人民检察院的检务督察工作。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15</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规划和指导全市检察机关的财务装备工作，指导全市检察机关的检察技术信息工作。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30" w:lineRule="atLeast"/>
        <w:ind w:right="0" w:firstLine="640" w:firstLineChars="200"/>
        <w:textAlignment w:val="auto"/>
        <w:rPr>
          <w:rFonts w:ascii="仿宋" w:hAnsi="仿宋" w:eastAsia="仿宋"/>
          <w:bCs/>
          <w:color w:val="000000"/>
          <w:sz w:val="32"/>
          <w:szCs w:val="32"/>
        </w:rPr>
      </w:pPr>
      <w:r>
        <w:rPr>
          <w:rFonts w:hint="eastAsia" w:ascii="仿宋_GB2312" w:hAnsi="仿宋_GB2312" w:eastAsia="仿宋_GB2312" w:cs="仿宋_GB2312"/>
          <w:i w:val="0"/>
          <w:caps w:val="0"/>
          <w:color w:val="333333"/>
          <w:spacing w:val="0"/>
          <w:sz w:val="32"/>
          <w:szCs w:val="32"/>
          <w:shd w:val="clear" w:color="auto" w:fill="FFFFFF"/>
        </w:rPr>
        <w:t>16</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仿宋_GB2312" w:hAnsi="仿宋_GB2312" w:eastAsia="仿宋_GB2312" w:cs="仿宋_GB2312"/>
          <w:i w:val="0"/>
          <w:caps w:val="0"/>
          <w:color w:val="333333"/>
          <w:spacing w:val="0"/>
          <w:sz w:val="32"/>
          <w:szCs w:val="32"/>
          <w:shd w:val="clear" w:color="auto" w:fill="FFFFFF"/>
        </w:rPr>
        <w:t>负责其他应当由广安市人民检察院承办的事项。</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9" w:name="_Toc15378446"/>
      <w:bookmarkStart w:id="20" w:name="_Toc15377199"/>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19"/>
      <w:bookmarkEnd w:id="2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line="30" w:lineRule="atLeast"/>
        <w:ind w:right="0" w:firstLine="640" w:firstLineChars="200"/>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2021年，广安市人民检察院在市委和省检察院的坚强领导下，坚持以习近平新时代中国特色社会主义思想为指导，全面贯彻习近平法治思想，紧紧围绕全市工作大局，忠实履行法律监督职责，各项检察工作取得新成效。全市检察机关共有6件案件入选最高检、省检察院发布的典型案例，获得国家、省、市级表彰奖励集体26项、个人53人次，“四大检察”“十大业务”位列全省检察系统第一方阵。2021年以来，批捕各类刑事犯罪嫌疑人1189人、起诉2805人；严厉打击集资诈骗、洗钱等破坏金融管理秩序犯罪，批捕28人、起诉86人；起诉职务犯罪36人，有罪判决率100%；起诉制售有毒有害食品、假药劣药等犯罪25人，办理食药安全领域公益诉讼案件94件；从严惩治侵害未成年人权益犯罪，批捕114人、起诉158人，2起案件被省检察院评为典型案例；监督侦查机关立案56件、撤案101件，追加逮捕41人、追加起诉177人；办理监督案件301件，提请、提出抗诉和再审检察建议17件，对审判和执行活动提出监督意见118件，2起案件被省检察院评为典型案例；办理非法占地、污染生态环境等行政执行监督案件48件，提出的检察建议采纳率100%；立案办理公益诉讼案件305件，同比上升32.6%；发出诉前检察建议236件，诉前整改率98.3%。圆满完成各项目工作目标。</w:t>
      </w:r>
    </w:p>
    <w:p>
      <w:pPr>
        <w:pStyle w:val="4"/>
        <w:ind w:firstLine="640" w:firstLineChars="200"/>
        <w:rPr>
          <w:rStyle w:val="26"/>
          <w:b w:val="0"/>
          <w:bCs w:val="0"/>
        </w:rPr>
      </w:pPr>
      <w:bookmarkStart w:id="21" w:name="_Toc15377200"/>
      <w:bookmarkStart w:id="22"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1"/>
      <w:bookmarkEnd w:id="22"/>
    </w:p>
    <w:p>
      <w:pPr>
        <w:pStyle w:val="2"/>
        <w:adjustRightInd w:val="0"/>
        <w:snapToGrid w:val="0"/>
        <w:spacing w:before="93" w:line="600" w:lineRule="exact"/>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lang w:eastAsia="zh-CN"/>
        </w:rPr>
        <w:t>广安市人民检察院</w:t>
      </w:r>
      <w:r>
        <w:rPr>
          <w:rFonts w:hint="eastAsia" w:hAnsi="仿宋_GB2312" w:cs="仿宋_GB2312"/>
          <w:sz w:val="32"/>
          <w:szCs w:val="32"/>
          <w:lang w:eastAsia="zh-CN"/>
        </w:rPr>
        <w:t>部门下属二级单位</w:t>
      </w:r>
      <w:r>
        <w:rPr>
          <w:rFonts w:hint="eastAsia" w:hAnsi="仿宋_GB2312" w:cs="仿宋_GB2312"/>
          <w:sz w:val="32"/>
          <w:szCs w:val="32"/>
          <w:lang w:val="en-US" w:eastAsia="zh-CN"/>
        </w:rPr>
        <w:t>1个，其中行政单位1个，参照公务员法管理的事业单位0个，其他事业单位0个。</w:t>
      </w:r>
    </w:p>
    <w:p>
      <w:pPr>
        <w:pStyle w:val="2"/>
        <w:adjustRightInd w:val="0"/>
        <w:snapToGrid w:val="0"/>
        <w:spacing w:before="93" w:line="600" w:lineRule="exact"/>
        <w:ind w:firstLine="640" w:firstLineChars="200"/>
        <w:rPr>
          <w:rFonts w:ascii="仿宋" w:hAnsi="仿宋" w:eastAsia="仿宋"/>
          <w:sz w:val="32"/>
          <w:szCs w:val="32"/>
        </w:rPr>
      </w:pPr>
      <w:r>
        <w:rPr>
          <w:rFonts w:hint="eastAsia" w:hAnsi="仿宋_GB2312" w:cs="仿宋_GB2312"/>
          <w:sz w:val="32"/>
          <w:szCs w:val="32"/>
          <w:lang w:val="en-US" w:eastAsia="zh-CN"/>
        </w:rPr>
        <w:t>纳入2021年度部门决算编制范围的二级预算单位包括：广安市人民检察院</w:t>
      </w:r>
      <w:r>
        <w:rPr>
          <w:rFonts w:hint="eastAsia" w:ascii="仿宋_GB2312" w:hAnsi="仿宋_GB2312" w:eastAsia="仿宋_GB2312" w:cs="仿宋_GB2312"/>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5"/>
          <w:rFonts w:ascii="黑体" w:hAnsi="黑体" w:eastAsia="黑体"/>
          <w:b w:val="0"/>
          <w:bCs w:val="0"/>
        </w:rPr>
      </w:pPr>
      <w:bookmarkStart w:id="23" w:name="_Toc15377204"/>
      <w:bookmarkStart w:id="24"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202</w:t>
      </w:r>
      <w:r>
        <w:rPr>
          <w:rStyle w:val="25"/>
          <w:rFonts w:hint="eastAsia" w:ascii="黑体" w:hAnsi="黑体" w:eastAsia="黑体"/>
          <w:b w:val="0"/>
          <w:bCs w:val="0"/>
          <w:lang w:val="en-US" w:eastAsia="zh-CN"/>
        </w:rPr>
        <w:t>1</w:t>
      </w:r>
      <w:r>
        <w:rPr>
          <w:rStyle w:val="25"/>
          <w:rFonts w:hint="eastAsia" w:ascii="黑体" w:hAnsi="黑体" w:eastAsia="黑体"/>
          <w:b w:val="0"/>
          <w:bCs w:val="0"/>
        </w:rPr>
        <w:t>年度部门决算情况说明</w:t>
      </w:r>
      <w:bookmarkEnd w:id="23"/>
      <w:bookmarkEnd w:id="24"/>
    </w:p>
    <w:p/>
    <w:p>
      <w:pPr>
        <w:pStyle w:val="24"/>
        <w:numPr>
          <w:ilvl w:val="0"/>
          <w:numId w:val="1"/>
        </w:numPr>
        <w:spacing w:line="600" w:lineRule="exact"/>
        <w:ind w:firstLineChars="0"/>
        <w:outlineLvl w:val="1"/>
        <w:rPr>
          <w:rStyle w:val="26"/>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5"/>
      <w:bookmarkEnd w:id="26"/>
    </w:p>
    <w:p>
      <w:pPr>
        <w:spacing w:line="600" w:lineRule="exact"/>
        <w:ind w:firstLine="640" w:firstLineChars="200"/>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2021年度收入总计1738.12万元，支出总计1738.12万元。与2020年相比，收入总计减少237.19万元，下降12%，支出总计减少237.19万元，下降12%。</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drawing>
          <wp:anchor distT="0" distB="0" distL="114300" distR="114300" simplePos="0" relativeHeight="251659264" behindDoc="0" locked="0" layoutInCell="1" allowOverlap="1">
            <wp:simplePos x="0" y="0"/>
            <wp:positionH relativeFrom="column">
              <wp:posOffset>128270</wp:posOffset>
            </wp:positionH>
            <wp:positionV relativeFrom="paragraph">
              <wp:posOffset>490855</wp:posOffset>
            </wp:positionV>
            <wp:extent cx="4686300" cy="1962785"/>
            <wp:effectExtent l="4445" t="5080" r="14605" b="1333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主要变动原因是人员减少，工资福利支出减少。</w:t>
      </w:r>
    </w:p>
    <w:p>
      <w:pPr>
        <w:pStyle w:val="24"/>
        <w:numPr>
          <w:ilvl w:val="0"/>
          <w:numId w:val="1"/>
        </w:numPr>
        <w:spacing w:line="600" w:lineRule="exact"/>
        <w:ind w:firstLineChars="0"/>
        <w:outlineLvl w:val="1"/>
        <w:rPr>
          <w:rStyle w:val="26"/>
          <w:rFonts w:ascii="黑体" w:hAnsi="黑体" w:eastAsia="黑体"/>
          <w:b w:val="0"/>
        </w:rPr>
      </w:pPr>
      <w:bookmarkStart w:id="27" w:name="_Toc15377206"/>
      <w:bookmarkStart w:id="28"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2021年本年收入合计1442.17万元，其中：一般公共预算财政拨款收入1442.17万元，占100%。</w:t>
      </w:r>
    </w:p>
    <w:p>
      <w:pPr>
        <w:spacing w:line="600" w:lineRule="exact"/>
        <w:ind w:firstLine="420" w:firstLineChars="200"/>
        <w:outlineLvl w:val="1"/>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185420</wp:posOffset>
            </wp:positionH>
            <wp:positionV relativeFrom="paragraph">
              <wp:posOffset>190500</wp:posOffset>
            </wp:positionV>
            <wp:extent cx="4677410" cy="1906270"/>
            <wp:effectExtent l="4445" t="4445" r="23495" b="1333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2021年本年支出合计1738.12万元，其中：基本支出1175.39万元，占68%；项目支出562.73万元，占32%。</w:t>
      </w:r>
    </w:p>
    <w:p>
      <w:pPr>
        <w:spacing w:line="600" w:lineRule="exact"/>
        <w:ind w:firstLine="64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290830</wp:posOffset>
            </wp:positionH>
            <wp:positionV relativeFrom="paragraph">
              <wp:posOffset>271145</wp:posOffset>
            </wp:positionV>
            <wp:extent cx="4695190" cy="1924685"/>
            <wp:effectExtent l="5080" t="4445" r="5080" b="1397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1"/>
      <w:bookmarkEnd w:id="32"/>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2021年财政拨款收入总计1738.12万元，财政拨款支出总计1738.12万元。与2020年相比，财政拨款收入总计减少237.19万元，下降12%，财政拨款支出总计减少82.18万元，下降4%。</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主要变动原因是人员减少，工资福利支出减少。</w:t>
      </w:r>
    </w:p>
    <w:p>
      <w:pPr>
        <w:spacing w:line="600" w:lineRule="exact"/>
        <w:rPr>
          <w:rFonts w:ascii="仿宋" w:hAnsi="仿宋" w:eastAsia="仿宋"/>
          <w:b/>
          <w:color w:val="00B050"/>
          <w:sz w:val="32"/>
          <w:szCs w:val="32"/>
        </w:rPr>
      </w:pPr>
      <w:r>
        <w:drawing>
          <wp:anchor distT="0" distB="0" distL="114300" distR="114300" simplePos="0" relativeHeight="251662336" behindDoc="0" locked="0" layoutInCell="1" allowOverlap="1">
            <wp:simplePos x="0" y="0"/>
            <wp:positionH relativeFrom="column">
              <wp:posOffset>96520</wp:posOffset>
            </wp:positionH>
            <wp:positionV relativeFrom="paragraph">
              <wp:posOffset>265430</wp:posOffset>
            </wp:positionV>
            <wp:extent cx="4704715" cy="1732915"/>
            <wp:effectExtent l="4445" t="4445" r="15240" b="1524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3"/>
      <w:bookmarkEnd w:id="34"/>
    </w:p>
    <w:p>
      <w:pPr>
        <w:spacing w:line="600" w:lineRule="exact"/>
        <w:ind w:firstLine="640"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2021年一般公共预算财政拨款支出1738.12万元，占本年支出合计的100%。与2020年相比，一般公共预算财政拨款减少82.18万元，下降4%。</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主要变动原因是人员减少，工资福利支出减少。</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290195</wp:posOffset>
            </wp:positionH>
            <wp:positionV relativeFrom="paragraph">
              <wp:posOffset>290195</wp:posOffset>
            </wp:positionV>
            <wp:extent cx="4676140" cy="1915160"/>
            <wp:effectExtent l="4445" t="4445" r="5715" b="2349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widowControl/>
        <w:numPr>
          <w:ilvl w:val="0"/>
          <w:numId w:val="0"/>
        </w:numPr>
        <w:adjustRightInd w:val="0"/>
        <w:snapToGrid w:val="0"/>
        <w:spacing w:line="580" w:lineRule="exact"/>
        <w:ind w:firstLine="640" w:firstLineChars="200"/>
        <w:contextualSpacing/>
        <w:jc w:val="left"/>
        <w:rPr>
          <w:rFonts w:hint="eastAsia" w:ascii="仿宋" w:hAnsi="仿宋" w:eastAsia="仿宋"/>
          <w:b/>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1738.12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公共安全支出（类）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1567.6</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128.15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卫生健康支出（类）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42.37</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252095</wp:posOffset>
            </wp:positionH>
            <wp:positionV relativeFrom="paragraph">
              <wp:posOffset>249555</wp:posOffset>
            </wp:positionV>
            <wp:extent cx="4657725" cy="1485900"/>
            <wp:effectExtent l="4445" t="5080" r="5080" b="1397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0" w:firstLineChars="200"/>
        <w:outlineLvl w:val="2"/>
        <w:rPr>
          <w:rFonts w:ascii="仿宋" w:hAnsi="仿宋" w:eastAsia="仿宋"/>
          <w:color w:val="FF0000"/>
          <w:sz w:val="32"/>
          <w:szCs w:val="32"/>
        </w:rPr>
      </w:pPr>
      <w:bookmarkStart w:id="38" w:name="_Toc15378460"/>
      <w:bookmarkStart w:id="39" w:name="_Toc15377213"/>
      <w:bookmarkStart w:id="40" w:name="_Toc15377444"/>
      <w:r>
        <w:rPr>
          <w:rFonts w:hint="eastAsia" w:ascii="仿宋" w:hAnsi="仿宋" w:eastAsia="仿宋"/>
          <w:b/>
          <w:color w:val="000000" w:themeColor="text1"/>
          <w:sz w:val="32"/>
          <w:szCs w:val="32"/>
          <w14:textFill>
            <w14:solidFill>
              <w14:schemeClr w14:val="tx1"/>
            </w14:solidFill>
          </w14:textFill>
        </w:rPr>
        <w:t>202</w:t>
      </w:r>
      <w:r>
        <w:rPr>
          <w:rFonts w:hint="eastAsia" w:ascii="仿宋" w:hAnsi="仿宋" w:eastAsia="仿宋"/>
          <w:b/>
          <w:color w:val="000000" w:themeColor="text1"/>
          <w:sz w:val="32"/>
          <w:szCs w:val="32"/>
          <w:lang w:val="en-US" w:eastAsia="zh-CN"/>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1738.12万元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8"/>
      <w:bookmarkEnd w:id="39"/>
      <w:bookmarkEnd w:id="40"/>
    </w:p>
    <w:p>
      <w:pPr>
        <w:spacing w:line="600" w:lineRule="exact"/>
        <w:ind w:firstLine="640"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lang w:eastAsia="zh-CN"/>
        </w:rPr>
        <w:t>公共安全支出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公安</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其他公安支出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10</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公共安全支出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检察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hint="eastAsia" w:ascii="仿宋_GB2312" w:eastAsia="仿宋_GB2312"/>
          <w:b w:val="0"/>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1004.87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lang w:val="en-US" w:eastAsia="zh-CN"/>
        </w:rPr>
        <w:t>公共安全</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lang w:val="en-US" w:eastAsia="zh-CN"/>
        </w:rPr>
        <w:t>（类）检察（款）一般行政事务管理（项）：</w:t>
      </w:r>
      <w:r>
        <w:rPr>
          <w:rStyle w:val="15"/>
          <w:rFonts w:hint="eastAsia" w:ascii="仿宋_GB2312" w:hAnsi="仿宋_GB2312" w:eastAsia="仿宋_GB2312" w:cs="仿宋_GB2312"/>
          <w:b w:val="0"/>
          <w:bCs/>
          <w:color w:val="000000"/>
          <w:sz w:val="32"/>
          <w:szCs w:val="32"/>
          <w:lang w:val="en-US" w:eastAsia="zh-CN"/>
        </w:rPr>
        <w:t>支出决算为110万元，完成预算100%。</w:t>
      </w:r>
    </w:p>
    <w:p>
      <w:pPr>
        <w:spacing w:line="600" w:lineRule="exact"/>
        <w:ind w:firstLine="640" w:firstLineChars="200"/>
        <w:rPr>
          <w:rStyle w:val="15"/>
          <w:rFonts w:ascii="仿宋" w:hAnsi="仿宋" w:eastAsia="仿宋"/>
          <w:bCs/>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lang w:val="en-US" w:eastAsia="zh-CN"/>
        </w:rPr>
        <w:t>公共安全</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lang w:val="en-US" w:eastAsia="zh-CN"/>
        </w:rPr>
        <w:t>（类）检察（款）“两房”建设（项）：</w:t>
      </w:r>
      <w:r>
        <w:rPr>
          <w:rStyle w:val="15"/>
          <w:rFonts w:hint="eastAsia" w:ascii="仿宋_GB2312" w:hAnsi="仿宋_GB2312" w:eastAsia="仿宋_GB2312" w:cs="仿宋_GB2312"/>
          <w:b w:val="0"/>
          <w:bCs/>
          <w:color w:val="000000"/>
          <w:sz w:val="32"/>
          <w:szCs w:val="32"/>
          <w:lang w:val="en-US" w:eastAsia="zh-CN"/>
        </w:rPr>
        <w:t>支出决算为9.5万元，完成预算100%。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val="en-US" w:eastAsia="zh-CN"/>
        </w:rPr>
        <w:t>公共安全</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lang w:val="en-US" w:eastAsia="zh-CN"/>
        </w:rPr>
        <w:t>（类）检察（款）其他检察支出（项）：</w:t>
      </w:r>
      <w:r>
        <w:rPr>
          <w:rStyle w:val="15"/>
          <w:rFonts w:hint="eastAsia" w:ascii="仿宋_GB2312" w:hAnsi="仿宋_GB2312" w:eastAsia="仿宋_GB2312" w:cs="仿宋_GB2312"/>
          <w:b w:val="0"/>
          <w:bCs/>
          <w:color w:val="000000"/>
          <w:sz w:val="32"/>
          <w:szCs w:val="32"/>
          <w:lang w:val="en-US" w:eastAsia="zh-CN"/>
        </w:rPr>
        <w:t>支出决算为157.31万元，完成预算100%。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val="en-US" w:eastAsia="zh-CN"/>
        </w:rPr>
        <w:t>公共安全</w:t>
      </w:r>
      <w:r>
        <w:rPr>
          <w:rStyle w:val="15"/>
          <w:rFonts w:hint="eastAsia" w:ascii="仿宋" w:hAnsi="仿宋" w:eastAsia="仿宋"/>
          <w:bCs/>
          <w:color w:val="000000"/>
          <w:sz w:val="32"/>
          <w:szCs w:val="32"/>
          <w:lang w:eastAsia="zh-CN"/>
        </w:rPr>
        <w:t>支出</w:t>
      </w:r>
      <w:r>
        <w:rPr>
          <w:rStyle w:val="15"/>
          <w:rFonts w:hint="eastAsia" w:ascii="仿宋" w:hAnsi="仿宋" w:eastAsia="仿宋"/>
          <w:bCs/>
          <w:color w:val="000000"/>
          <w:sz w:val="32"/>
          <w:szCs w:val="32"/>
          <w:lang w:val="en-US" w:eastAsia="zh-CN"/>
        </w:rPr>
        <w:t>（类）其他公共安全支出（款）其他公共安全支出（项）：</w:t>
      </w:r>
      <w:r>
        <w:rPr>
          <w:rStyle w:val="15"/>
          <w:rFonts w:hint="eastAsia" w:ascii="仿宋_GB2312" w:hAnsi="仿宋_GB2312" w:eastAsia="仿宋_GB2312" w:cs="仿宋_GB2312"/>
          <w:b w:val="0"/>
          <w:bCs/>
          <w:color w:val="000000"/>
          <w:sz w:val="32"/>
          <w:szCs w:val="32"/>
          <w:lang w:val="en-US" w:eastAsia="zh-CN"/>
        </w:rPr>
        <w:t>支出决算为275.92万元，完成预算100%。</w:t>
      </w:r>
    </w:p>
    <w:p>
      <w:pPr>
        <w:spacing w:line="600" w:lineRule="exact"/>
        <w:ind w:firstLine="640"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行政事业单位养老支出（款）行政事业单位离退休（项）:</w:t>
      </w:r>
      <w:r>
        <w:rPr>
          <w:rStyle w:val="15"/>
          <w:rFonts w:hint="eastAsia" w:ascii="仿宋_GB2312" w:eastAsia="仿宋_GB2312"/>
          <w:b w:val="0"/>
          <w:color w:val="000000"/>
          <w:sz w:val="32"/>
          <w:szCs w:val="32"/>
        </w:rPr>
        <w:t xml:space="preserve"> </w:t>
      </w:r>
      <w:r>
        <w:rPr>
          <w:rStyle w:val="15"/>
          <w:rFonts w:hint="eastAsia" w:ascii="仿宋" w:hAnsi="仿宋" w:eastAsia="仿宋"/>
          <w:b w:val="0"/>
          <w:bCs/>
          <w:color w:val="000000"/>
          <w:sz w:val="32"/>
          <w:szCs w:val="32"/>
          <w:lang w:val="en-US" w:eastAsia="zh-CN"/>
        </w:rPr>
        <w:t>支</w:t>
      </w:r>
      <w:r>
        <w:rPr>
          <w:rStyle w:val="15"/>
          <w:rFonts w:hint="eastAsia" w:ascii="仿宋_GB2312" w:hAnsi="仿宋_GB2312" w:eastAsia="仿宋_GB2312" w:cs="仿宋_GB2312"/>
          <w:b w:val="0"/>
          <w:bCs/>
          <w:color w:val="000000"/>
          <w:sz w:val="32"/>
          <w:szCs w:val="32"/>
          <w:lang w:val="en-US" w:eastAsia="zh-CN"/>
        </w:rPr>
        <w:t>出决算为26.83万元，完成预算100%。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eastAsia="zh-CN"/>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行政事业单位养老支出（款）行政事业单位基本养老保险缴费支出（项）:</w:t>
      </w:r>
      <w:r>
        <w:rPr>
          <w:rStyle w:val="15"/>
          <w:rFonts w:hint="eastAsia" w:ascii="仿宋_GB2312" w:eastAsia="仿宋_GB2312"/>
          <w:b w:val="0"/>
          <w:color w:val="000000"/>
          <w:sz w:val="32"/>
          <w:szCs w:val="32"/>
        </w:rPr>
        <w:t xml:space="preserve"> </w:t>
      </w:r>
      <w:r>
        <w:rPr>
          <w:rStyle w:val="15"/>
          <w:rFonts w:hint="eastAsia" w:ascii="仿宋" w:hAnsi="仿宋" w:eastAsia="仿宋"/>
          <w:b w:val="0"/>
          <w:bCs/>
          <w:color w:val="000000"/>
          <w:sz w:val="32"/>
          <w:szCs w:val="32"/>
          <w:lang w:val="en-US" w:eastAsia="zh-CN"/>
        </w:rPr>
        <w:t>支</w:t>
      </w:r>
      <w:r>
        <w:rPr>
          <w:rStyle w:val="15"/>
          <w:rFonts w:hint="eastAsia" w:ascii="仿宋_GB2312" w:hAnsi="仿宋_GB2312" w:eastAsia="仿宋_GB2312" w:cs="仿宋_GB2312"/>
          <w:b w:val="0"/>
          <w:bCs/>
          <w:color w:val="000000"/>
          <w:sz w:val="32"/>
          <w:szCs w:val="32"/>
          <w:lang w:val="en-US" w:eastAsia="zh-CN"/>
        </w:rPr>
        <w:t>出决算为101.32万元，完成预算100%。</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val="en-US" w:eastAsia="zh-CN"/>
        </w:rPr>
        <w:t>卫生健康支出（类）行政事业单位医疗（款）行政单位医疗（项）:</w:t>
      </w:r>
      <w:r>
        <w:rPr>
          <w:rStyle w:val="15"/>
          <w:rFonts w:hint="eastAsia" w:ascii="仿宋_GB2312" w:eastAsia="仿宋_GB2312"/>
          <w:b w:val="0"/>
          <w:color w:val="000000"/>
          <w:sz w:val="32"/>
          <w:szCs w:val="32"/>
        </w:rPr>
        <w:t xml:space="preserve"> </w:t>
      </w:r>
      <w:r>
        <w:rPr>
          <w:rStyle w:val="15"/>
          <w:rFonts w:hint="eastAsia" w:ascii="仿宋_GB2312" w:hAnsi="仿宋_GB2312" w:eastAsia="仿宋_GB2312" w:cs="仿宋_GB2312"/>
          <w:b w:val="0"/>
          <w:bCs/>
          <w:color w:val="000000"/>
          <w:sz w:val="32"/>
          <w:szCs w:val="32"/>
          <w:lang w:val="en-US" w:eastAsia="zh-CN"/>
        </w:rPr>
        <w:t>支出决算为42.37万元，完成预算100%</w:t>
      </w:r>
      <w:r>
        <w:rPr>
          <w:rStyle w:val="15"/>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6"/>
        </w:rPr>
      </w:pPr>
      <w:bookmarkStart w:id="41" w:name="_Toc15377214"/>
      <w:bookmarkStart w:id="4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1"/>
      <w:bookmarkEnd w:id="42"/>
      <w:r>
        <w:rPr>
          <w:rStyle w:val="26"/>
          <w:rFonts w:ascii="黑体" w:hAnsi="黑体" w:eastAsia="黑体"/>
          <w:b w:val="0"/>
        </w:rPr>
        <w:tab/>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2021年一般公共预算财政拨款基本支出1175.39万元，其中：</w:t>
      </w:r>
    </w:p>
    <w:p>
      <w:pPr>
        <w:spacing w:line="60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人员经费997.03万元，主要包括：基本工资、津贴补贴、奖金、机关事业单位基本养老保险缴费、其他社会保障缴费、抚恤金、医疗费补助、奖励金、其他对个人和家庭的补助支出等。</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日常公用经费178.36万元，主要包括：办公费、印刷费、水费、邮电费、物业管理费、差旅费、维修（护）费、培训费、公务接待费、劳务费、工会经费、福利费、公务用车运行维护费、其他交通费、其他商品和服务支出等。</w:t>
      </w:r>
    </w:p>
    <w:p>
      <w:pPr>
        <w:numPr>
          <w:ilvl w:val="0"/>
          <w:numId w:val="2"/>
        </w:numPr>
        <w:spacing w:line="600" w:lineRule="exact"/>
        <w:ind w:firstLine="640"/>
        <w:rPr>
          <w:rStyle w:val="26"/>
          <w:rFonts w:hint="eastAsia" w:ascii="黑体" w:hAnsi="黑体" w:eastAsia="黑体"/>
          <w:b w:val="0"/>
          <w:bCs/>
        </w:rPr>
      </w:pPr>
      <w:r>
        <w:rPr>
          <w:rFonts w:hint="eastAsia" w:ascii="黑体" w:hAnsi="黑体" w:eastAsia="黑体"/>
          <w:b w:val="0"/>
          <w:bCs/>
          <w:color w:val="000000"/>
          <w:sz w:val="32"/>
          <w:szCs w:val="32"/>
        </w:rPr>
        <w:t>一</w:t>
      </w:r>
      <w:r>
        <w:rPr>
          <w:rStyle w:val="26"/>
          <w:rFonts w:hint="eastAsia" w:ascii="黑体" w:hAnsi="黑体" w:eastAsia="黑体"/>
          <w:b w:val="0"/>
          <w:bCs/>
        </w:rPr>
        <w:t>般公共预算财政拨款</w:t>
      </w:r>
      <w:r>
        <w:rPr>
          <w:rStyle w:val="26"/>
          <w:rFonts w:hint="eastAsia" w:ascii="黑体" w:hAnsi="黑体" w:eastAsia="黑体"/>
          <w:b w:val="0"/>
          <w:bCs/>
          <w:lang w:eastAsia="zh-CN"/>
        </w:rPr>
        <w:t>项目</w:t>
      </w:r>
      <w:r>
        <w:rPr>
          <w:rStyle w:val="26"/>
          <w:rFonts w:hint="eastAsia" w:ascii="黑体" w:hAnsi="黑体" w:eastAsia="黑体"/>
          <w:b w:val="0"/>
          <w:bCs/>
        </w:rPr>
        <w:t>支出决算情况说明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562.73</w:t>
      </w:r>
      <w:r>
        <w:rPr>
          <w:rFonts w:hint="eastAsia" w:ascii="仿宋" w:hAnsi="仿宋" w:eastAsia="仿宋"/>
          <w:color w:val="000000"/>
          <w:sz w:val="32"/>
          <w:szCs w:val="32"/>
        </w:rPr>
        <w:t>万元，其中：</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临聘书记员及临聘司法协警专项经费项目支出70万元，主要用于：项目经费支出70万元，包括劳务费等。</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行政检察（含公益诉讼）专项经费项目支出10万元，主要用于：项目经费支出10万元，包括办公费、差旅费、维修（护）费、其他商品和服务支出等。</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扫黑除恶办案经费项目支出30万元，主要用于：项目经费支出30万元，包括办公费、印刷费、水费、电费、邮电费、物业管理费、差旅费、维修（护）费、劳务费等。</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技侦及办公楼工程款项目支出9.5万元，主要用于：项目经费支出9.5万元，包括其他资本性支出等。</w:t>
      </w:r>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政法转移支付项目支出443.23万元，主要用于：项目经费支出443.23万元，包括办公费、印刷费、水费、电费、邮电费、物业管理费、差旅费、维修（护）费、租赁费、会议费、培训费、劳务费、公务用车运行维护费、其他商品和服务支出、办公设备购置、专用设备购置、信息网络及软件购置更新等。</w:t>
      </w:r>
    </w:p>
    <w:p>
      <w:pPr>
        <w:spacing w:line="600" w:lineRule="exact"/>
        <w:ind w:firstLine="640"/>
        <w:outlineLvl w:val="1"/>
        <w:rPr>
          <w:rStyle w:val="26"/>
          <w:rFonts w:ascii="黑体" w:hAnsi="黑体" w:eastAsia="黑体"/>
          <w:b w:val="0"/>
        </w:rPr>
      </w:pPr>
      <w:bookmarkStart w:id="43" w:name="_Toc15377215"/>
      <w:bookmarkStart w:id="44" w:name="_Toc15396609"/>
      <w:r>
        <w:rPr>
          <w:rFonts w:hint="eastAsia" w:ascii="黑体" w:eastAsia="黑体"/>
          <w:color w:val="000000"/>
          <w:sz w:val="32"/>
          <w:szCs w:val="32"/>
          <w:lang w:eastAsia="zh-CN"/>
        </w:rPr>
        <w:t>八</w:t>
      </w:r>
      <w:r>
        <w:rPr>
          <w:rFonts w:hint="eastAsia" w:ascii="黑体" w:eastAsia="黑体"/>
          <w:color w:val="000000"/>
          <w:sz w:val="32"/>
          <w:szCs w:val="32"/>
        </w:rPr>
        <w:t>、</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2021年“三公”经费财政拨款支出决算为25.45万元，完成预算100%，决算数与预算数持平。比2020年增加0.86万元，增长3%，主要原因是</w:t>
      </w:r>
      <w:r>
        <w:rPr>
          <w:rFonts w:hint="eastAsia" w:ascii="仿宋_GB2312" w:eastAsia="仿宋_GB2312"/>
          <w:color w:val="000000"/>
          <w:sz w:val="32"/>
          <w:szCs w:val="32"/>
          <w:lang w:eastAsia="zh-CN"/>
        </w:rPr>
        <w:t>较上年出行办案较多</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firstLineChars="200"/>
        <w:outlineLvl w:val="1"/>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2021年“三公”经费财政拨款支出25.45万元，比2020年增加0.86万元，增长3%，主要原因是</w:t>
      </w:r>
      <w:r>
        <w:rPr>
          <w:rFonts w:hint="eastAsia" w:ascii="仿宋_GB2312" w:eastAsia="仿宋_GB2312"/>
          <w:color w:val="000000"/>
          <w:sz w:val="32"/>
          <w:szCs w:val="32"/>
          <w:lang w:eastAsia="zh-CN"/>
        </w:rPr>
        <w:t>较上年出行办案较多</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。其中：因公出国（境）费支出决算0万元，占0%；公务用车购置及运行维护费支出决算24.03万元，占94%；公务接待费支出决算1.42万元，占6%。具体情况如下：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372745</wp:posOffset>
            </wp:positionH>
            <wp:positionV relativeFrom="paragraph">
              <wp:posOffset>155575</wp:posOffset>
            </wp:positionV>
            <wp:extent cx="4686935" cy="1914525"/>
            <wp:effectExtent l="4445" t="5080" r="13970" b="444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lang w:val="en-US" w:eastAsia="zh-CN"/>
        </w:rPr>
        <w:t>2020年相同。</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相同</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24.03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1.73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较上年出行办案较多</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2020年相同，未购置车辆</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24.03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1.73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较上年出行办案较多</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公诉、刑执、行政检察、控申、民事检察等各个部门外出办案</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1.42</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0.87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厉行勤俭节约，进一步从严控制“三公”经费开支。</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_GB2312" w:eastAsia="仿宋_GB2312"/>
          <w:color w:val="000000"/>
          <w:sz w:val="32"/>
          <w:szCs w:val="32"/>
          <w:lang w:val="en-US" w:eastAsia="zh-CN"/>
        </w:rPr>
        <w:t>1.42</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0.87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厉行勤俭节约，进一步从严控制“三公”经费开支。</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接待上级检查办案、其他检察院办案学习交流等</w:t>
      </w:r>
      <w:r>
        <w:rPr>
          <w:rFonts w:hint="eastAsia" w:ascii="仿宋_GB2312" w:eastAsia="仿宋_GB2312"/>
          <w:color w:val="000000"/>
          <w:sz w:val="32"/>
          <w:szCs w:val="32"/>
        </w:rPr>
        <w:t>开支的交通费、住宿费、用餐费。国内公务接待</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1.42</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广东阳江市检察院及省内其他市州检察院交流学习；省院督查、调研、办案等</w:t>
      </w:r>
      <w:r>
        <w:rPr>
          <w:rFonts w:hint="eastAsia" w:ascii="仿宋_GB2312" w:eastAsia="仿宋_GB2312"/>
          <w:color w:val="000000"/>
          <w:sz w:val="32"/>
          <w:szCs w:val="32"/>
        </w:rPr>
        <w:t>。</w:t>
      </w:r>
    </w:p>
    <w:p>
      <w:pPr>
        <w:spacing w:line="600" w:lineRule="exact"/>
        <w:ind w:firstLine="640"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2020年相同，</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bookmarkStart w:id="47" w:name="_Toc15377218"/>
      <w:bookmarkStart w:id="48"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lang w:eastAsia="zh-CN"/>
        </w:rPr>
        <w:t>九</w:t>
      </w:r>
      <w:r>
        <w:rPr>
          <w:rFonts w:hint="eastAsia" w:ascii="黑体" w:eastAsia="黑体"/>
          <w:color w:val="000000"/>
          <w:sz w:val="32"/>
          <w:szCs w:val="32"/>
        </w:rPr>
        <w:t>、</w:t>
      </w:r>
      <w:r>
        <w:rPr>
          <w:rStyle w:val="26"/>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6"/>
          <w:rFonts w:ascii="黑体" w:hAnsi="黑体" w:eastAsia="黑体"/>
          <w:b w:val="0"/>
        </w:rPr>
      </w:pPr>
      <w:bookmarkStart w:id="49" w:name="_Toc15377219"/>
      <w:bookmarkStart w:id="50" w:name="_Toc15396611"/>
      <w:r>
        <w:rPr>
          <w:rStyle w:val="26"/>
          <w:rFonts w:hint="eastAsia" w:ascii="黑体" w:hAnsi="黑体" w:eastAsia="黑体"/>
          <w:b w:val="0"/>
          <w:lang w:eastAsia="zh-CN"/>
        </w:rPr>
        <w:t>十、</w:t>
      </w:r>
      <w:r>
        <w:rPr>
          <w:rStyle w:val="26"/>
          <w:rFonts w:hint="eastAsia" w:ascii="黑体" w:hAnsi="黑体" w:eastAsia="黑体"/>
          <w:b w:val="0"/>
        </w:rPr>
        <w:t>国有资本经营预算支出决算情况说明</w:t>
      </w:r>
      <w:bookmarkEnd w:id="49"/>
      <w:bookmarkEnd w:id="5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left="0" w:leftChars="0" w:firstLine="640" w:firstLineChars="200"/>
        <w:outlineLvl w:val="1"/>
        <w:rPr>
          <w:rStyle w:val="26"/>
          <w:rFonts w:ascii="黑体" w:hAnsi="黑体" w:eastAsia="黑体"/>
        </w:rPr>
      </w:pPr>
      <w:bookmarkStart w:id="51" w:name="_Toc15377221"/>
      <w:bookmarkStart w:id="52" w:name="_Toc15396612"/>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6"/>
          <w:rFonts w:hint="eastAsia" w:ascii="黑体" w:hAnsi="黑体" w:eastAsia="黑体"/>
        </w:rPr>
        <w:t>、</w:t>
      </w:r>
      <w:r>
        <w:rPr>
          <w:rStyle w:val="26"/>
          <w:rFonts w:hint="eastAsia" w:ascii="黑体" w:hAnsi="黑体" w:eastAsia="黑体"/>
          <w:b w:val="0"/>
        </w:rPr>
        <w:t>其他重要事项的情况说明</w:t>
      </w:r>
      <w:bookmarkEnd w:id="51"/>
      <w:bookmarkEnd w:id="52"/>
    </w:p>
    <w:p>
      <w:pPr>
        <w:spacing w:line="600" w:lineRule="exact"/>
        <w:ind w:firstLine="640"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ind w:firstLine="645"/>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178.36</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65.56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Times New Roman" w:hAnsi="Times New Roman" w:eastAsia="仿宋_GB2312"/>
          <w:color w:val="000000"/>
          <w:sz w:val="32"/>
          <w:szCs w:val="32"/>
        </w:rPr>
        <w:t>积极贯彻落实中央关于厉行节约的要</w:t>
      </w:r>
      <w:r>
        <w:rPr>
          <w:rFonts w:hint="eastAsia" w:ascii="Times New Roman" w:hAnsi="Times New Roman" w:eastAsia="仿宋_GB2312"/>
          <w:color w:val="000000"/>
          <w:sz w:val="32"/>
          <w:szCs w:val="32"/>
          <w:lang w:eastAsia="zh-CN"/>
        </w:rPr>
        <w:t>求等。</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150.9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150.9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信息网络构建，智能语音等项目建设</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一般</w:t>
      </w:r>
      <w:r>
        <w:rPr>
          <w:rFonts w:hint="eastAsia" w:ascii="仿宋_GB2312" w:eastAsia="仿宋_GB2312"/>
          <w:color w:val="000000"/>
          <w:sz w:val="32"/>
          <w:szCs w:val="32"/>
        </w:rPr>
        <w:t>执法执勤用车</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特种专业技术用车2辆。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w:t>
      </w:r>
      <w:r>
        <w:rPr>
          <w:rFonts w:hint="eastAsia" w:ascii="仿宋_GB2312" w:hAnsi="仿宋_GB2312" w:eastAsia="仿宋_GB2312" w:cs="仿宋_GB2312"/>
          <w:sz w:val="32"/>
          <w:szCs w:val="32"/>
          <w:lang w:eastAsia="zh-CN"/>
        </w:rPr>
        <w:t>”“行政检察（含公益诉讼）专项经费”“扫黑除恶专项办案经费”“民警加班及员额检察官法官绩效考核奖金总量”等</w:t>
      </w:r>
      <w:r>
        <w:rPr>
          <w:rFonts w:hint="eastAsia" w:ascii="仿宋_GB2312" w:hAnsi="仿宋_GB2312" w:eastAsia="仿宋_GB2312" w:cs="仿宋_GB2312"/>
          <w:sz w:val="32"/>
          <w:szCs w:val="32"/>
        </w:rPr>
        <w:t>项目开展了预算事前绩效评估开展了预算事前绩效评估，对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个项目全部编制了绩效目标，预算执行过程中，对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个项目全部开展绩效监控，年终执行完毕后，对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个项目全部开展了绩效目标完成情况自评。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年部门整体支出开展绩效自评，</w:t>
      </w:r>
      <w:r>
        <w:rPr>
          <w:rFonts w:hint="eastAsia" w:ascii="仿宋_GB2312" w:hAnsi="仿宋_GB2312" w:eastAsia="仿宋_GB2312" w:cs="仿宋_GB2312"/>
          <w:sz w:val="32"/>
          <w:szCs w:val="32"/>
          <w:highlight w:val="none"/>
        </w:rPr>
        <w:t>从评价情况来看</w:t>
      </w:r>
      <w:r>
        <w:rPr>
          <w:rFonts w:hint="eastAsia" w:ascii="仿宋_GB2312" w:hAnsi="仿宋_GB2312" w:eastAsia="仿宋_GB2312" w:cs="仿宋_GB2312"/>
          <w:sz w:val="32"/>
          <w:szCs w:val="32"/>
          <w:highlight w:val="none"/>
          <w:lang w:eastAsia="zh-CN"/>
        </w:rPr>
        <w:t>本部门整体支出绩效评价情况良好，</w:t>
      </w:r>
      <w:r>
        <w:rPr>
          <w:rFonts w:hint="eastAsia" w:ascii="仿宋_GB2312" w:hAnsi="仿宋_GB2312" w:eastAsia="仿宋_GB2312" w:cs="仿宋_GB2312"/>
          <w:sz w:val="32"/>
          <w:szCs w:val="32"/>
        </w:rPr>
        <w:t>保障了检察职能的履行，完成了相关重点检察重点工作和全年目标任务。本部门还自行组织了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项目绩效目标基本实现，评价情况良好</w:t>
      </w:r>
      <w:r>
        <w:rPr>
          <w:rFonts w:hint="eastAsia" w:ascii="仿宋_GB2312" w:hAnsi="仿宋_GB2312" w:eastAsia="仿宋_GB2312" w:cs="仿宋_GB2312"/>
          <w:sz w:val="32"/>
          <w:szCs w:val="32"/>
        </w:rPr>
        <w:t>。</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w:t>
      </w:r>
      <w:r>
        <w:rPr>
          <w:rFonts w:hint="eastAsia" w:ascii="仿宋_GB2312" w:hAnsi="仿宋_GB2312" w:eastAsia="仿宋_GB2312" w:cs="仿宋_GB2312"/>
          <w:sz w:val="32"/>
          <w:szCs w:val="32"/>
          <w:lang w:eastAsia="zh-CN"/>
        </w:rPr>
        <w:t>”“行政检察（含公益诉讼）专项经费”“扫黑除恶专项办案经费”“民警加班及员额检察官法官绩效考核奖金总量”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（1）临聘书记员及临聘司法协警专项业务费项目绩效目标完成情况综述。项目全年预算数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%。通过项目实施，保障了临聘书记员及临聘司法协警工资</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继续规范使用专项业务费，完成相应绩效目标，确保</w:t>
      </w:r>
      <w:r>
        <w:rPr>
          <w:rFonts w:hint="eastAsia" w:ascii="仿宋_GB2312" w:hAnsi="仿宋_GB2312" w:eastAsia="仿宋_GB2312" w:cs="仿宋_GB2312"/>
          <w:sz w:val="32"/>
          <w:szCs w:val="32"/>
        </w:rPr>
        <w:t>临聘书记员及临聘司法协警工资</w:t>
      </w:r>
      <w:r>
        <w:rPr>
          <w:rFonts w:hint="eastAsia" w:ascii="仿宋_GB2312" w:hAnsi="仿宋_GB2312" w:eastAsia="仿宋_GB2312" w:cs="仿宋_GB2312"/>
          <w:sz w:val="32"/>
          <w:szCs w:val="32"/>
          <w:lang w:eastAsia="zh-CN"/>
        </w:rPr>
        <w:t>支付。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行政检察（含公益诉讼）专项经费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%。通过项目实施，保障了行政诉讼监督案件、行政执法检察监督案件</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，维护国家利益和社会公共利益。发现的主要问题：</w:t>
      </w:r>
      <w:r>
        <w:rPr>
          <w:rFonts w:hint="eastAsia" w:ascii="仿宋_GB2312" w:hAnsi="仿宋_GB2312" w:eastAsia="仿宋_GB2312" w:cs="仿宋_GB2312"/>
          <w:sz w:val="32"/>
          <w:szCs w:val="32"/>
          <w:lang w:eastAsia="zh-CN"/>
        </w:rPr>
        <w:t>因年度内该类案件减少，个别经济效益指标有偏差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提高办案数量，继续规范使用专项经费，完成相应绩效目标。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扫黑除恶专项办案经费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%。通过项目实施，保障了依法办案</w:t>
      </w:r>
      <w:r>
        <w:rPr>
          <w:rFonts w:hint="eastAsia" w:ascii="仿宋_GB2312" w:hAnsi="仿宋_GB2312" w:eastAsia="仿宋_GB2312" w:cs="仿宋_GB2312"/>
          <w:sz w:val="32"/>
          <w:szCs w:val="32"/>
          <w:lang w:eastAsia="zh-CN"/>
        </w:rPr>
        <w:t>扫黑除恶相关案件</w:t>
      </w:r>
      <w:r>
        <w:rPr>
          <w:rFonts w:hint="eastAsia" w:ascii="仿宋_GB2312" w:hAnsi="仿宋_GB2312" w:eastAsia="仿宋_GB2312" w:cs="仿宋_GB2312"/>
          <w:sz w:val="32"/>
          <w:szCs w:val="32"/>
        </w:rPr>
        <w:t>，坚持打准打狠，深入推进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扫黑除恶专项斗争，发现的主要问题：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继续规范使用专项办案经费，完成相应绩效目标。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民警加班及员额检察官法官绩效考核奖金总量</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保障了司法警察加班津贴及执勤津贴及时发放，确保司改绩效全员发放到位</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临聘书记员及临聘司法协警专项业务费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r>
      <w:tr>
        <w:tblPrEx>
          <w:tblCellMar>
            <w:top w:w="0" w:type="dxa"/>
            <w:left w:w="0" w:type="dxa"/>
            <w:bottom w:w="0" w:type="dxa"/>
            <w:right w:w="0" w:type="dxa"/>
          </w:tblCellMar>
        </w:tblPrEx>
        <w:trPr>
          <w:trHeight w:val="12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支付临聘书记员及临聘司法协警工资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支付临聘书记员及临聘司法协警工资</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支付工资人数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员额检察官应配备临聘人员人数据实支付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按人数支付，最多未超过应配备人数25人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工资发放及时准确率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年发放工资总额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司法体制改革目标落实率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解决就业岗位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按现有员额检察官应配备临聘人员据实配备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单月最多解决就业岗位25人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员额检察官对书记员及协警满意度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行政检察（含公益诉讼）专项经费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办理行政诉讼监督案件10件、参与办理检察公益诉讼案件20件，参与及办理行政检察案件需要开展鉴定、评估、审计等办案调查活动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办理行政诉讼监督案件10件、参与办理检察公益诉讼案件20件，参与及办理行政检察案件需要开展鉴定、评估、审计等办案调查活动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参与办理检察公益诉讼案件数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办理行政诉讼监督案件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公益诉讼案件结案率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行政诉讼监督案件审结率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办理行政检察公益诉讼相关案件成本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督促收回国有土地出让金、国有财产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126万元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案件瑕疵率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0.1%</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督促关停和整治造成环境污染的企业或者经营商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督促修复被破坏、污染、违法占用的土地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213亩</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促进行政检察工作满足国家和社会需求满意度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扫黑除恶专项办案经费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保持高点政治站位，继续组织领导，建立健全各项机制建设；强化司法联动，形成打击合力；突出依法办案，坚持打准打狠，深入推进扫黑除恶专项斗争；拓展检察职能，促进长效长治。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保持高点政治站位，继续组织领导，建立健全各项机制建设；强化司法联动，形成打击合力；突出依法办案，坚持打准打狠，深入推进扫黑除恶专项斗争；拓展检察职能，促进长效长治。</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发现移交线索数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办理及指导基层院办理扫黑除恶案件数量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2"/>
                <w:szCs w:val="22"/>
                <w:lang w:val="en-US" w:eastAsia="zh-CN"/>
              </w:rPr>
              <w:t>13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提前介入引导侦查次数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32</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16"/>
                <w:szCs w:val="16"/>
                <w:u w:val="none"/>
                <w:lang w:val="en-US" w:eastAsia="zh-CN" w:bidi="ar"/>
              </w:rPr>
              <w:t>审理提请批准逮捕、移送审查起诉的涉黑恶犯罪案件审结率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本年项目经费使用时限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年12月31日</w:t>
            </w:r>
            <w:r>
              <w:rPr>
                <w:rFonts w:hint="eastAsia" w:ascii="宋体" w:hAnsi="宋体" w:cs="宋体"/>
                <w:i w:val="0"/>
                <w:color w:val="000000"/>
                <w:kern w:val="0"/>
                <w:sz w:val="24"/>
                <w:szCs w:val="24"/>
                <w:u w:val="none"/>
                <w:lang w:val="en-US" w:eastAsia="zh-CN" w:bidi="ar"/>
              </w:rPr>
              <w:t>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办理黑恶案件需要经费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万元/件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对相关黑恶案件办理率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群众对检察院扫黑除恶工作满意度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Style w:val="31"/>
                <w:lang w:val="en-US" w:eastAsia="zh-CN" w:bidi="ar"/>
              </w:rPr>
              <w:t>≧</w:t>
            </w:r>
            <w:r>
              <w:rPr>
                <w:rStyle w:val="32"/>
                <w:rFonts w:hint="eastAsia"/>
                <w:lang w:val="en-US" w:eastAsia="zh-CN" w:bidi="ar"/>
              </w:rPr>
              <w:t>8</w:t>
            </w:r>
            <w:r>
              <w:rPr>
                <w:rStyle w:val="32"/>
                <w:lang w:val="en-US" w:eastAsia="zh-CN" w:bidi="ar"/>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民警加班及员额检察官法官绩效考核奖金总量</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发放司法警察加班津贴及执勤津贴、司改绩效</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发放司法警察加班津贴及执勤津贴、司改绩效</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司法警察执勤津贴发放人数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司改绩效发放人数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82人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司法警察加班补贴发放人数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有利于推进司法体制改革进度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相关津贴及绩效发放时间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司法警察加班及执勤津贴发放金额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平稳改革促进人员待遇保障率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干警对相关津贴及绩效发放工作的满意度的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广安市人民检察院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w:t>
      </w:r>
      <w:r>
        <w:rPr>
          <w:rFonts w:hint="eastAsia" w:ascii="仿宋_GB2312" w:hAnsi="仿宋_GB2312" w:eastAsia="仿宋_GB2312" w:cs="仿宋_GB2312"/>
          <w:sz w:val="32"/>
          <w:szCs w:val="32"/>
          <w:lang w:eastAsia="zh-CN"/>
        </w:rPr>
        <w:t>”“行政检察（含公益诉讼）专项经费”“扫黑除恶专项办案经费”“民警加班及员额检察官法官绩效考核奖金总量”等</w:t>
      </w:r>
      <w:r>
        <w:rPr>
          <w:rFonts w:hint="eastAsia" w:ascii="仿宋_GB2312" w:hAnsi="仿宋_GB2312" w:eastAsia="仿宋_GB2312" w:cs="仿宋_GB2312"/>
          <w:sz w:val="32"/>
          <w:szCs w:val="32"/>
          <w:lang w:val="en-US" w:eastAsia="zh-CN"/>
        </w:rPr>
        <w:t>4各项目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广安市人民检察院项目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年绩效评价报告》见附件（附件2）。</w:t>
      </w:r>
    </w:p>
    <w:p>
      <w:pPr>
        <w:pStyle w:val="2"/>
        <w:rPr>
          <w:rFonts w:hint="default" w:eastAsia="仿宋_GB2312"/>
          <w:lang w:val="en-US" w:eastAsia="zh-CN"/>
        </w:rPr>
      </w:pPr>
      <w:r>
        <w:rPr>
          <w:rFonts w:hint="eastAsia" w:hAnsi="仿宋_GB2312" w:cs="仿宋_GB2312"/>
          <w:sz w:val="32"/>
          <w:szCs w:val="32"/>
          <w:lang w:val="en-US" w:eastAsia="zh-CN"/>
        </w:rPr>
        <w:t xml:space="preserve">    本部门</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“民警加班及员额检察官法官绩效考核奖金总量”</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开展了绩效评价，</w:t>
      </w:r>
      <w:r>
        <w:rPr>
          <w:rFonts w:hint="eastAsia" w:hAnsi="仿宋_GB2312" w:cs="仿宋_GB2312"/>
          <w:sz w:val="32"/>
          <w:szCs w:val="32"/>
          <w:lang w:val="en-US" w:eastAsia="zh-CN"/>
        </w:rPr>
        <w:t>《100万元以上（含）特定目标类部门预算项目绩效目标自评表》</w:t>
      </w:r>
      <w:r>
        <w:rPr>
          <w:rFonts w:hint="eastAsia" w:ascii="仿宋_GB2312" w:hAnsi="仿宋_GB2312" w:eastAsia="仿宋_GB2312" w:cs="仿宋_GB2312"/>
          <w:sz w:val="32"/>
          <w:szCs w:val="32"/>
        </w:rPr>
        <w:t>见附件（附件</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6" w:name="_Toc15396613"/>
      <w:bookmarkStart w:id="57"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公安</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其他公安支出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反映其他用于公安方面的支出。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（类）检察（款）行政运行（项）：指行政单位基本支出。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（类）检察（款）一般行政事务管理（项）：指未单独设置项级科目的其他项目支出。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（类）检察（款）</w:t>
      </w:r>
      <w:r>
        <w:rPr>
          <w:rFonts w:hint="eastAsia" w:ascii="仿宋_GB2312" w:eastAsia="仿宋_GB2312"/>
          <w:color w:val="000000"/>
          <w:sz w:val="32"/>
          <w:szCs w:val="32"/>
          <w:lang w:eastAsia="zh-CN"/>
        </w:rPr>
        <w:t>“两房”建设</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：反映办案用房和专业技术用房及附属设施的建设和修缮支出。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（类）检察（款）</w:t>
      </w:r>
      <w:r>
        <w:rPr>
          <w:rFonts w:hint="eastAsia" w:ascii="仿宋_GB2312" w:eastAsia="仿宋_GB2312"/>
          <w:color w:val="000000"/>
          <w:sz w:val="32"/>
          <w:szCs w:val="32"/>
          <w:lang w:eastAsia="zh-CN"/>
        </w:rPr>
        <w:t>其他检察支出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：反映其他用于检察方面的支出。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其他公共安全支出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其他公共安全支出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：反映其他用于公共安全方面的支出。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（款）行政事业单位离退休（项）：</w:t>
      </w:r>
      <w:r>
        <w:rPr>
          <w:rFonts w:hint="eastAsia" w:ascii="仿宋_GB2312" w:eastAsia="仿宋_GB2312"/>
          <w:color w:val="000000"/>
          <w:sz w:val="32"/>
          <w:szCs w:val="32"/>
          <w:lang w:eastAsia="zh-CN"/>
        </w:rPr>
        <w:t>反映行政单位开支的离退休经费。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（款）机关事业单位基本养老保险缴费支出（项）：指部门实施养老保险制度由单位缴纳的养老保险费的支出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（款）行政单位医疗（项）：</w:t>
      </w:r>
      <w:r>
        <w:rPr>
          <w:rFonts w:hint="eastAsia" w:ascii="仿宋_GB2312" w:eastAsia="仿宋_GB2312"/>
          <w:color w:val="000000"/>
          <w:sz w:val="32"/>
          <w:szCs w:val="32"/>
          <w:lang w:eastAsia="zh-CN"/>
        </w:rPr>
        <w:t>反映财政部门安排的行政单位基本医疗保险缴费经费，未参加医疗保险的行政单位的公费医疗经费，按国家规定享受离休人员、红军老战士待遇人员的医疗经费。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广安市人民检察院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w:t>
      </w:r>
      <w:r>
        <w:rPr>
          <w:rFonts w:hint="eastAsia" w:ascii="方正小标宋简体" w:hAnsi="宋体" w:eastAsia="方正小标宋简体"/>
          <w:color w:val="000000"/>
          <w:kern w:val="0"/>
          <w:sz w:val="40"/>
          <w:szCs w:val="44"/>
          <w:lang w:val="en-US" w:eastAsia="zh-CN"/>
        </w:rPr>
        <w:t>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60" w:firstLineChars="200"/>
        <w:contextualSpacing/>
        <w:jc w:val="left"/>
        <w:rPr>
          <w:rFonts w:ascii="方正黑体_GBK" w:hAnsi="宋体" w:eastAsia="方正黑体_GBK" w:cs="宋体"/>
          <w:color w:val="000000"/>
          <w:kern w:val="0"/>
          <w:sz w:val="33"/>
          <w:szCs w:val="33"/>
          <w:shd w:val="clear" w:color="auto" w:fill="FFFFFF"/>
          <w:lang w:val="zh-CN"/>
        </w:rPr>
      </w:pPr>
      <w:r>
        <w:rPr>
          <w:rFonts w:hint="eastAsia" w:ascii="方正黑体_GBK" w:hAnsi="宋体" w:eastAsia="方正黑体_GBK" w:cs="宋体"/>
          <w:color w:val="000000"/>
          <w:kern w:val="0"/>
          <w:sz w:val="33"/>
          <w:szCs w:val="33"/>
          <w:shd w:val="clear" w:color="auto" w:fill="FFFFFF"/>
        </w:rPr>
        <w:t>一、</w:t>
      </w:r>
      <w:r>
        <w:rPr>
          <w:rFonts w:hint="eastAsia" w:ascii="方正黑体_GBK" w:hAnsi="宋体" w:eastAsia="方正黑体_GBK" w:cs="宋体"/>
          <w:color w:val="000000"/>
          <w:kern w:val="0"/>
          <w:sz w:val="33"/>
          <w:szCs w:val="33"/>
          <w:shd w:val="clear" w:color="auto" w:fill="FFFFFF"/>
          <w:lang w:val="zh-CN"/>
        </w:rPr>
        <w:t>部门（单位）概况</w:t>
      </w:r>
    </w:p>
    <w:p>
      <w:pPr>
        <w:spacing w:line="600" w:lineRule="exact"/>
        <w:ind w:firstLine="660" w:firstLineChars="200"/>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（一）机构组成。</w:t>
      </w:r>
      <w:r>
        <w:rPr>
          <w:rFonts w:hint="eastAsia" w:ascii="仿宋_GB2312" w:eastAsia="仿宋_GB2312"/>
          <w:sz w:val="32"/>
          <w:szCs w:val="32"/>
        </w:rPr>
        <w:t>本部门为一</w:t>
      </w:r>
      <w:r>
        <w:rPr>
          <w:rFonts w:hint="eastAsia" w:ascii="仿宋_GB2312" w:eastAsia="仿宋_GB2312"/>
          <w:sz w:val="32"/>
          <w:szCs w:val="32"/>
          <w:lang w:eastAsia="zh-CN"/>
        </w:rPr>
        <w:t>级</w:t>
      </w:r>
      <w:r>
        <w:rPr>
          <w:rFonts w:hint="eastAsia" w:ascii="仿宋_GB2312" w:eastAsia="仿宋_GB2312"/>
          <w:sz w:val="32"/>
          <w:szCs w:val="32"/>
        </w:rPr>
        <w:t>决算单位，属于行政单位，下设</w:t>
      </w:r>
      <w:r>
        <w:rPr>
          <w:rFonts w:hint="eastAsia" w:ascii="仿宋_GB2312" w:eastAsia="仿宋_GB2312"/>
          <w:sz w:val="32"/>
          <w:szCs w:val="32"/>
          <w:lang w:eastAsia="zh-CN"/>
        </w:rPr>
        <w:t>办公室</w:t>
      </w:r>
      <w:r>
        <w:rPr>
          <w:rFonts w:hint="eastAsia" w:ascii="仿宋_GB2312" w:eastAsia="仿宋_GB2312"/>
          <w:sz w:val="32"/>
          <w:szCs w:val="32"/>
        </w:rPr>
        <w:t>、政治部</w:t>
      </w:r>
      <w:r>
        <w:rPr>
          <w:rFonts w:hint="eastAsia" w:ascii="仿宋_GB2312" w:eastAsia="仿宋_GB2312"/>
          <w:sz w:val="32"/>
          <w:szCs w:val="32"/>
          <w:lang w:eastAsia="zh-CN"/>
        </w:rPr>
        <w:t>、第一检察部、第二检察部、第三检察部、第四检察部、第五检察部、第六检察部、第七检察部、第八检察部、</w:t>
      </w:r>
      <w:r>
        <w:rPr>
          <w:rFonts w:hint="eastAsia" w:ascii="仿宋_GB2312" w:eastAsia="仿宋_GB2312"/>
          <w:sz w:val="32"/>
          <w:szCs w:val="32"/>
        </w:rPr>
        <w:t>法律政策研究室、</w:t>
      </w:r>
      <w:r>
        <w:rPr>
          <w:rFonts w:hint="eastAsia" w:ascii="仿宋_GB2312" w:eastAsia="仿宋_GB2312"/>
          <w:sz w:val="32"/>
          <w:szCs w:val="32"/>
          <w:lang w:eastAsia="zh-CN"/>
        </w:rPr>
        <w:t>案件管理办公室、</w:t>
      </w:r>
      <w:r>
        <w:rPr>
          <w:rFonts w:hint="eastAsia" w:ascii="仿宋_GB2312" w:eastAsia="仿宋_GB2312"/>
          <w:sz w:val="32"/>
          <w:szCs w:val="32"/>
        </w:rPr>
        <w:t>计划财务装备</w:t>
      </w:r>
      <w:r>
        <w:rPr>
          <w:rFonts w:hint="eastAsia" w:ascii="仿宋_GB2312" w:eastAsia="仿宋_GB2312"/>
          <w:sz w:val="32"/>
          <w:szCs w:val="32"/>
          <w:lang w:eastAsia="zh-CN"/>
        </w:rPr>
        <w:t>部、检务督察部、技术信息部、</w:t>
      </w:r>
      <w:r>
        <w:rPr>
          <w:rFonts w:hint="eastAsia" w:ascii="仿宋_GB2312" w:eastAsia="仿宋_GB2312"/>
          <w:sz w:val="32"/>
          <w:szCs w:val="32"/>
        </w:rPr>
        <w:t>机关党委</w:t>
      </w:r>
      <w:r>
        <w:rPr>
          <w:rFonts w:hint="eastAsia" w:ascii="仿宋_GB2312" w:eastAsia="仿宋_GB2312"/>
          <w:sz w:val="32"/>
          <w:szCs w:val="32"/>
          <w:lang w:eastAsia="zh-CN"/>
        </w:rPr>
        <w:t>、</w:t>
      </w:r>
      <w:r>
        <w:rPr>
          <w:rFonts w:hint="eastAsia" w:ascii="仿宋_GB2312" w:eastAsia="仿宋_GB2312"/>
          <w:sz w:val="32"/>
          <w:szCs w:val="32"/>
        </w:rPr>
        <w:t>后勤服务中心等十</w:t>
      </w:r>
      <w:r>
        <w:rPr>
          <w:rFonts w:hint="eastAsia" w:ascii="仿宋_GB2312" w:eastAsia="仿宋_GB2312"/>
          <w:sz w:val="32"/>
          <w:szCs w:val="32"/>
          <w:lang w:eastAsia="zh-CN"/>
        </w:rPr>
        <w:t>七</w:t>
      </w:r>
      <w:r>
        <w:rPr>
          <w:rFonts w:hint="eastAsia" w:ascii="仿宋_GB2312" w:eastAsia="仿宋_GB2312"/>
          <w:sz w:val="32"/>
          <w:szCs w:val="32"/>
        </w:rPr>
        <w:t>个处室</w:t>
      </w:r>
      <w:r>
        <w:rPr>
          <w:rFonts w:hint="eastAsia" w:ascii="仿宋_GB2312" w:eastAsia="仿宋_GB2312"/>
          <w:sz w:val="32"/>
          <w:szCs w:val="32"/>
          <w:highlight w:val="none"/>
        </w:rPr>
        <w:t>。</w:t>
      </w:r>
    </w:p>
    <w:p>
      <w:pPr>
        <w:widowControl/>
        <w:spacing w:line="540" w:lineRule="exact"/>
        <w:ind w:firstLine="482"/>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（二）机构职能。</w:t>
      </w:r>
      <w:r>
        <w:rPr>
          <w:rFonts w:hint="eastAsia" w:ascii="仿宋_GB2312" w:hAnsi="仿宋_GB2312" w:eastAsia="仿宋_GB2312" w:cs="仿宋_GB2312"/>
          <w:sz w:val="32"/>
          <w:szCs w:val="32"/>
        </w:rPr>
        <w:t>检察院的主要职能包括：</w:t>
      </w:r>
      <w:r>
        <w:rPr>
          <w:rFonts w:hint="eastAsia" w:ascii="仿宋_GB2312" w:eastAsia="仿宋_GB2312"/>
          <w:sz w:val="32"/>
          <w:szCs w:val="32"/>
          <w:lang w:eastAsia="zh-CN"/>
        </w:rPr>
        <w:t>依照法律规定对由广安市人民检察院直接受理的刑事案件行使侦查权，对全市重大刑事案件依法审查批准逮捕、决定逮捕、提起公诉，负责应由广安市人民检察院承办的刑事、民事、行政诉讼活动及刑事、民事、行政判决和裁定等生效法律文书执行的法律监督工作，负责应由广安市人民检察院承办的提起公益诉讼工作，负责应由广安市人民检察院承办的对监狱、看守所等执法活动的法律监督工作，受理向广安市人民检察院的控告申诉。对下级人民检察院在行使检察权中作出的决定进行审查，纠正错误决定。</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（三）人员概况。</w:t>
      </w:r>
      <w:r>
        <w:rPr>
          <w:rFonts w:hint="eastAsia" w:ascii="仿宋_GB2312" w:eastAsia="仿宋_GB2312"/>
          <w:sz w:val="32"/>
          <w:szCs w:val="32"/>
          <w:highlight w:val="none"/>
        </w:rPr>
        <w:t>核定行政编制</w:t>
      </w:r>
      <w:r>
        <w:rPr>
          <w:rFonts w:hint="eastAsia" w:ascii="仿宋_GB2312" w:eastAsia="仿宋_GB2312"/>
          <w:sz w:val="32"/>
          <w:szCs w:val="32"/>
          <w:highlight w:val="none"/>
          <w:lang w:val="en-US" w:eastAsia="zh-CN"/>
        </w:rPr>
        <w:t>71</w:t>
      </w:r>
      <w:r>
        <w:rPr>
          <w:rFonts w:hint="eastAsia" w:ascii="仿宋_GB2312" w:eastAsia="仿宋_GB2312"/>
          <w:sz w:val="32"/>
          <w:szCs w:val="32"/>
          <w:highlight w:val="none"/>
        </w:rPr>
        <w:t>名，工勤编制3名，合计</w:t>
      </w:r>
      <w:r>
        <w:rPr>
          <w:rFonts w:hint="eastAsia" w:ascii="仿宋_GB2312" w:eastAsia="仿宋_GB2312"/>
          <w:sz w:val="32"/>
          <w:szCs w:val="32"/>
          <w:highlight w:val="none"/>
          <w:lang w:eastAsia="zh-CN"/>
        </w:rPr>
        <w:t>编制数</w:t>
      </w:r>
      <w:r>
        <w:rPr>
          <w:rFonts w:hint="eastAsia" w:ascii="仿宋_GB2312" w:eastAsia="仿宋_GB2312"/>
          <w:sz w:val="32"/>
          <w:szCs w:val="32"/>
          <w:highlight w:val="none"/>
          <w:lang w:val="en-US" w:eastAsia="zh-CN"/>
        </w:rPr>
        <w:t>74</w:t>
      </w:r>
      <w:r>
        <w:rPr>
          <w:rFonts w:hint="eastAsia" w:ascii="仿宋_GB2312" w:eastAsia="仿宋_GB2312"/>
          <w:sz w:val="32"/>
          <w:szCs w:val="32"/>
          <w:highlight w:val="none"/>
        </w:rPr>
        <w:t>名，</w:t>
      </w:r>
      <w:r>
        <w:rPr>
          <w:rFonts w:hint="eastAsia" w:ascii="仿宋_GB2312" w:eastAsia="仿宋_GB2312"/>
          <w:sz w:val="32"/>
          <w:szCs w:val="32"/>
          <w:highlight w:val="none"/>
          <w:lang w:eastAsia="zh-CN"/>
        </w:rPr>
        <w:t>年末</w:t>
      </w:r>
      <w:r>
        <w:rPr>
          <w:rFonts w:hint="eastAsia" w:ascii="仿宋_GB2312" w:eastAsia="仿宋_GB2312"/>
          <w:sz w:val="32"/>
          <w:szCs w:val="32"/>
          <w:highlight w:val="none"/>
        </w:rPr>
        <w:t>实有</w:t>
      </w:r>
      <w:r>
        <w:rPr>
          <w:rFonts w:hint="eastAsia" w:ascii="仿宋_GB2312" w:eastAsia="仿宋_GB2312"/>
          <w:sz w:val="32"/>
          <w:szCs w:val="32"/>
          <w:highlight w:val="none"/>
          <w:lang w:eastAsia="zh-CN"/>
        </w:rPr>
        <w:t>在职</w:t>
      </w:r>
      <w:r>
        <w:rPr>
          <w:rFonts w:hint="eastAsia" w:ascii="仿宋_GB2312" w:eastAsia="仿宋_GB2312"/>
          <w:sz w:val="32"/>
          <w:szCs w:val="32"/>
          <w:highlight w:val="none"/>
        </w:rPr>
        <w:t>人数</w:t>
      </w:r>
      <w:r>
        <w:rPr>
          <w:rFonts w:hint="eastAsia" w:ascii="仿宋_GB2312" w:eastAsia="仿宋_GB2312"/>
          <w:sz w:val="32"/>
          <w:szCs w:val="32"/>
          <w:highlight w:val="none"/>
          <w:lang w:val="en-US" w:eastAsia="zh-CN"/>
        </w:rPr>
        <w:t>72</w:t>
      </w:r>
      <w:r>
        <w:rPr>
          <w:rFonts w:hint="eastAsia" w:ascii="仿宋_GB2312" w:eastAsia="仿宋_GB2312"/>
          <w:sz w:val="32"/>
          <w:szCs w:val="32"/>
          <w:highlight w:val="none"/>
        </w:rPr>
        <w:t>名。</w:t>
      </w:r>
    </w:p>
    <w:p>
      <w:pPr>
        <w:widowControl/>
        <w:adjustRightInd w:val="0"/>
        <w:snapToGrid w:val="0"/>
        <w:spacing w:line="580" w:lineRule="exact"/>
        <w:ind w:firstLine="660" w:firstLineChars="200"/>
        <w:contextualSpacing/>
        <w:jc w:val="left"/>
        <w:rPr>
          <w:rFonts w:ascii="方正黑体_GBK" w:hAnsi="宋体" w:eastAsia="方正黑体_GBK" w:cs="宋体"/>
          <w:color w:val="000000"/>
          <w:kern w:val="0"/>
          <w:sz w:val="33"/>
          <w:szCs w:val="33"/>
          <w:shd w:val="clear" w:color="auto" w:fill="FFFFFF"/>
        </w:rPr>
      </w:pPr>
      <w:r>
        <w:rPr>
          <w:rFonts w:hint="eastAsia" w:ascii="方正黑体_GBK" w:hAnsi="宋体" w:eastAsia="方正黑体_GBK" w:cs="宋体"/>
          <w:color w:val="000000"/>
          <w:kern w:val="0"/>
          <w:sz w:val="33"/>
          <w:szCs w:val="33"/>
          <w:shd w:val="clear" w:color="auto" w:fill="FFFFFF"/>
        </w:rPr>
        <w:t>二、部门财政资金收支情况</w:t>
      </w:r>
    </w:p>
    <w:p>
      <w:pPr>
        <w:spacing w:line="600" w:lineRule="exact"/>
        <w:ind w:firstLine="640"/>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（一）部门财政资金收入情况。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b w:val="0"/>
          <w:bCs w:val="0"/>
          <w:color w:val="000000"/>
          <w:sz w:val="32"/>
          <w:szCs w:val="32"/>
        </w:rPr>
        <w:t>一般公共预算财</w:t>
      </w:r>
      <w:r>
        <w:rPr>
          <w:rFonts w:hint="eastAsia" w:ascii="仿宋_GB2312" w:hAnsi="仿宋_GB2312" w:eastAsia="仿宋_GB2312" w:cs="仿宋_GB2312"/>
          <w:b w:val="0"/>
          <w:bCs w:val="0"/>
          <w:color w:val="000000" w:themeColor="text1"/>
          <w:sz w:val="32"/>
          <w:szCs w:val="32"/>
          <w14:textFill>
            <w14:solidFill>
              <w14:schemeClr w14:val="tx1"/>
            </w14:solidFill>
          </w14:textFill>
        </w:rPr>
        <w:t>政拨款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本年收入</w:t>
      </w:r>
      <w:r>
        <w:rPr>
          <w:rFonts w:hint="eastAsia" w:ascii="仿宋_GB2312" w:hAnsi="仿宋_GB2312" w:eastAsia="仿宋_GB2312" w:cs="仿宋_GB2312"/>
          <w:b w:val="0"/>
          <w:bCs w:val="0"/>
          <w:color w:val="000000"/>
          <w:sz w:val="32"/>
          <w:szCs w:val="32"/>
          <w:lang w:val="en-US" w:eastAsia="zh-CN"/>
        </w:rPr>
        <w:t>1442.17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万元，主要用于以下方面:公共安全支出（类）支出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1271.65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128.15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14:textFill>
            <w14:solidFill>
              <w14:schemeClr w14:val="tx1"/>
            </w14:solidFill>
          </w14:textFill>
        </w:rPr>
        <w:t>%；卫生健康支出（类）支出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42.37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widowControl/>
        <w:numPr>
          <w:ilvl w:val="0"/>
          <w:numId w:val="0"/>
        </w:numPr>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（二）部门财政资金支出情况。</w:t>
      </w:r>
      <w:r>
        <w:rPr>
          <w:rFonts w:hint="eastAsia" w:ascii="仿宋_GB2312" w:hAnsi="宋体" w:eastAsia="仿宋_GB2312" w:cs="宋体"/>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年一般公共预算财</w:t>
      </w:r>
      <w:r>
        <w:rPr>
          <w:rFonts w:hint="eastAsia" w:ascii="仿宋_GB2312" w:hAnsi="仿宋_GB2312" w:eastAsia="仿宋_GB2312" w:cs="仿宋_GB2312"/>
          <w:b w:val="0"/>
          <w:bCs w:val="0"/>
          <w:color w:val="000000" w:themeColor="text1"/>
          <w:sz w:val="32"/>
          <w:szCs w:val="32"/>
          <w14:textFill>
            <w14:solidFill>
              <w14:schemeClr w14:val="tx1"/>
            </w14:solidFill>
          </w14:textFill>
        </w:rPr>
        <w:t>政拨款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本年</w:t>
      </w:r>
      <w:r>
        <w:rPr>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Fonts w:hint="eastAsia" w:ascii="仿宋_GB2312" w:hAnsi="仿宋_GB2312" w:eastAsia="仿宋_GB2312" w:cs="仿宋_GB2312"/>
          <w:b w:val="0"/>
          <w:bCs w:val="0"/>
          <w:color w:val="000000"/>
          <w:sz w:val="32"/>
          <w:szCs w:val="32"/>
          <w:lang w:val="en-US" w:eastAsia="zh-CN"/>
        </w:rPr>
        <w:t>1738.12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万元，主要用于以下方面:公共安全支出（类）支出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1567.6</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128.15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%；卫生健康支出（类）支出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42.37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widowControl/>
        <w:adjustRightInd w:val="0"/>
        <w:snapToGrid w:val="0"/>
        <w:spacing w:line="580" w:lineRule="exact"/>
        <w:ind w:firstLine="660" w:firstLineChars="200"/>
        <w:contextualSpacing/>
        <w:jc w:val="left"/>
        <w:rPr>
          <w:rFonts w:ascii="方正黑体_GBK" w:hAnsi="宋体" w:eastAsia="方正黑体_GBK" w:cs="宋体"/>
          <w:color w:val="000000"/>
          <w:kern w:val="0"/>
          <w:sz w:val="33"/>
          <w:szCs w:val="33"/>
          <w:shd w:val="clear" w:color="auto" w:fill="FFFFFF"/>
        </w:rPr>
      </w:pPr>
      <w:r>
        <w:rPr>
          <w:rFonts w:hint="eastAsia" w:ascii="方正黑体_GBK" w:hAnsi="宋体" w:eastAsia="方正黑体_GBK" w:cs="宋体"/>
          <w:color w:val="000000"/>
          <w:kern w:val="0"/>
          <w:sz w:val="33"/>
          <w:szCs w:val="33"/>
          <w:shd w:val="clear" w:color="auto" w:fill="FFFFFF"/>
        </w:rPr>
        <w:t>三、部门整体预算绩效管理情况</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（一）部门预算绩效管理。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sz w:val="32"/>
          <w:szCs w:val="32"/>
          <w:lang w:val="en-US" w:eastAsia="zh-CN"/>
        </w:rPr>
        <w:t>2021年度共制定1个部门绩效目标，即部门整体支出绩效目标，编制完整合理。部门预算编制合理，基础信息更新及时，2021年年初部门预算收入为1290.54万</w:t>
      </w:r>
      <w:r>
        <w:rPr>
          <w:rFonts w:hint="eastAsia" w:ascii="仿宋_GB2312" w:eastAsia="仿宋_GB2312"/>
          <w:color w:val="000000"/>
          <w:sz w:val="32"/>
          <w:szCs w:val="32"/>
        </w:rPr>
        <w:t>元，其中，基本支出</w:t>
      </w:r>
      <w:r>
        <w:rPr>
          <w:rFonts w:hint="eastAsia" w:ascii="仿宋_GB2312"/>
          <w:color w:val="000000"/>
          <w:sz w:val="32"/>
          <w:szCs w:val="32"/>
          <w:lang w:val="en-US" w:eastAsia="zh-CN"/>
        </w:rPr>
        <w:t>990.54</w:t>
      </w:r>
      <w:r>
        <w:rPr>
          <w:rFonts w:hint="eastAsia" w:ascii="仿宋_GB2312" w:eastAsia="仿宋_GB2312"/>
          <w:color w:val="000000"/>
          <w:sz w:val="32"/>
          <w:szCs w:val="32"/>
        </w:rPr>
        <w:t>万元，项目支出</w:t>
      </w:r>
      <w:r>
        <w:rPr>
          <w:rFonts w:hint="eastAsia" w:ascii="仿宋_GB2312"/>
          <w:color w:val="000000"/>
          <w:sz w:val="32"/>
          <w:szCs w:val="32"/>
          <w:lang w:val="en-US" w:eastAsia="zh-CN"/>
        </w:rPr>
        <w:t>300</w:t>
      </w:r>
      <w:r>
        <w:rPr>
          <w:rFonts w:hint="eastAsia" w:ascii="仿宋_GB2312" w:eastAsia="仿宋_GB2312"/>
          <w:color w:val="000000"/>
          <w:sz w:val="32"/>
          <w:szCs w:val="32"/>
        </w:rPr>
        <w:t>万元。</w:t>
      </w: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lang w:val="zh-CN"/>
        </w:rPr>
        <w:t>年度我单位财政预算当年收入实际到位</w:t>
      </w:r>
      <w:r>
        <w:rPr>
          <w:rFonts w:hint="eastAsia" w:ascii="仿宋_GB2312" w:hAnsi="仿宋_GB2312" w:eastAsia="仿宋_GB2312" w:cs="仿宋_GB2312"/>
          <w:color w:val="000000"/>
          <w:kern w:val="0"/>
          <w:sz w:val="32"/>
          <w:szCs w:val="32"/>
          <w:shd w:val="clear" w:color="auto" w:fill="FFFFFF"/>
          <w:lang w:val="en-US" w:eastAsia="zh-CN"/>
        </w:rPr>
        <w:t>1442.17</w:t>
      </w:r>
      <w:r>
        <w:rPr>
          <w:rFonts w:hint="eastAsia" w:ascii="仿宋_GB2312" w:hAnsi="仿宋_GB2312" w:eastAsia="仿宋_GB2312" w:cs="仿宋_GB2312"/>
          <w:color w:val="000000"/>
          <w:kern w:val="0"/>
          <w:sz w:val="32"/>
          <w:szCs w:val="32"/>
          <w:shd w:val="clear" w:color="auto" w:fill="FFFFFF"/>
          <w:lang w:val="zh-CN"/>
        </w:rPr>
        <w:t>万元，上年结转</w:t>
      </w:r>
      <w:r>
        <w:rPr>
          <w:rFonts w:hint="eastAsia" w:ascii="仿宋_GB2312" w:hAnsi="仿宋_GB2312" w:eastAsia="仿宋_GB2312" w:cs="仿宋_GB2312"/>
          <w:color w:val="000000"/>
          <w:kern w:val="0"/>
          <w:sz w:val="32"/>
          <w:szCs w:val="32"/>
          <w:shd w:val="clear" w:color="auto" w:fill="FFFFFF"/>
          <w:lang w:val="en-US" w:eastAsia="zh-CN"/>
        </w:rPr>
        <w:t>295.95万元，</w:t>
      </w:r>
      <w:r>
        <w:rPr>
          <w:rFonts w:hint="eastAsia" w:ascii="仿宋_GB2312" w:hAnsi="仿宋_GB2312" w:eastAsia="仿宋_GB2312" w:cs="仿宋_GB2312"/>
          <w:color w:val="000000"/>
          <w:kern w:val="0"/>
          <w:sz w:val="32"/>
          <w:szCs w:val="32"/>
          <w:shd w:val="clear" w:color="auto" w:fill="FFFFFF"/>
          <w:lang w:val="zh-CN"/>
        </w:rPr>
        <w:t>实际支出</w:t>
      </w:r>
      <w:r>
        <w:rPr>
          <w:rFonts w:hint="eastAsia" w:ascii="仿宋_GB2312" w:hAnsi="仿宋_GB2312" w:eastAsia="仿宋_GB2312" w:cs="仿宋_GB2312"/>
          <w:color w:val="000000"/>
          <w:kern w:val="0"/>
          <w:sz w:val="32"/>
          <w:szCs w:val="32"/>
          <w:shd w:val="clear" w:color="auto" w:fill="FFFFFF"/>
          <w:lang w:val="en-US" w:eastAsia="zh-CN"/>
        </w:rPr>
        <w:t>1738.12</w:t>
      </w:r>
      <w:r>
        <w:rPr>
          <w:rFonts w:hint="eastAsia" w:ascii="仿宋_GB2312" w:hAnsi="仿宋_GB2312" w:eastAsia="仿宋_GB2312" w:cs="仿宋_GB2312"/>
          <w:color w:val="000000"/>
          <w:kern w:val="0"/>
          <w:sz w:val="32"/>
          <w:szCs w:val="32"/>
          <w:shd w:val="clear" w:color="auto" w:fill="FFFFFF"/>
          <w:lang w:val="zh-CN"/>
        </w:rPr>
        <w:t>万元，其中，基本支出</w:t>
      </w:r>
      <w:r>
        <w:rPr>
          <w:rFonts w:hint="eastAsia" w:ascii="仿宋_GB2312" w:hAnsi="仿宋_GB2312" w:eastAsia="仿宋_GB2312" w:cs="仿宋_GB2312"/>
          <w:color w:val="000000"/>
          <w:sz w:val="32"/>
          <w:szCs w:val="32"/>
          <w:lang w:val="en-US" w:eastAsia="zh-CN"/>
        </w:rPr>
        <w:t>1175.39</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color w:val="000000"/>
          <w:sz w:val="32"/>
          <w:szCs w:val="32"/>
          <w:lang w:val="en-US" w:eastAsia="zh-CN"/>
        </w:rPr>
        <w:t>562.73</w:t>
      </w:r>
      <w:r>
        <w:rPr>
          <w:rFonts w:hint="eastAsia" w:ascii="仿宋_GB2312" w:hAnsi="仿宋_GB2312" w:eastAsia="仿宋_GB2312" w:cs="仿宋_GB2312"/>
          <w:color w:val="000000"/>
          <w:kern w:val="0"/>
          <w:sz w:val="32"/>
          <w:szCs w:val="32"/>
          <w:shd w:val="clear" w:color="auto" w:fill="FFFFFF"/>
          <w:lang w:val="zh-CN"/>
        </w:rPr>
        <w:t>万元。根据实际情况和工作需要，基本支出和项目支出较年初预算批复都有所增加，且基本按照预算安排进度执行</w:t>
      </w:r>
      <w:r>
        <w:rPr>
          <w:rFonts w:hint="eastAsia" w:ascii="仿宋_GB2312" w:hAnsi="仿宋_GB2312" w:eastAsia="仿宋_GB2312" w:cs="仿宋_GB2312"/>
          <w:color w:val="000000"/>
          <w:kern w:val="0"/>
          <w:sz w:val="32"/>
          <w:szCs w:val="32"/>
          <w:highlight w:val="none"/>
          <w:shd w:val="clear" w:color="auto" w:fill="FFFFFF"/>
          <w:lang w:val="zh-CN"/>
        </w:rPr>
        <w:t>，预算完成情况良好，无</w:t>
      </w:r>
      <w:r>
        <w:rPr>
          <w:rFonts w:hint="eastAsia" w:ascii="仿宋_GB2312" w:hAnsi="宋体" w:eastAsia="仿宋_GB2312" w:cs="宋体"/>
          <w:color w:val="000000"/>
          <w:kern w:val="0"/>
          <w:sz w:val="32"/>
          <w:szCs w:val="32"/>
          <w:highlight w:val="none"/>
          <w:shd w:val="clear" w:color="auto" w:fill="FFFFFF"/>
          <w:lang w:val="zh-CN"/>
        </w:rPr>
        <w:t>违规记录等情况。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2021年度共制定4个项目绩效目标。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民警加班及员额检察官法官绩效考核奖金总量项目。项目全年预算数</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%。通过项目实施，发放司法警察加班津贴及执勤津贴、司改绩效</w:t>
      </w:r>
      <w:r>
        <w:rPr>
          <w:rFonts w:hint="eastAsia" w:ascii="仿宋_GB2312" w:hAnsi="仿宋_GB2312" w:eastAsia="仿宋_GB2312" w:cs="仿宋_GB2312"/>
          <w:sz w:val="32"/>
          <w:szCs w:val="32"/>
          <w:lang w:eastAsia="zh-CN"/>
        </w:rPr>
        <w:t>。已完成该项目全年目标任务，保障司法警察加班津贴及执勤津贴及时发放，确保司改绩效全员发放到位，预算金额未执行完原因为该项目为人员经费，根据人员变动等实际情况发放。</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继续规范使用专项经费，完成相应绩效目标。</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行政检察（含公益诉讼）专项经费项目。项目全年预算数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%。通过项目实施，保障了行政诉讼监督案件、行政执法检察监督案件</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，维护国家利益和社会公共利益。发现的主要问题：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继续规范使用专项经费，完成相应绩效目标。</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临聘书记员及临聘司法协警专项业务费项目。项目全年预算数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%。通过项目实施，保障了临聘书记员及临聘司法协警工资</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继续规范使用专项业务费，完成相应绩效目标，确保</w:t>
      </w:r>
      <w:r>
        <w:rPr>
          <w:rFonts w:hint="eastAsia" w:ascii="仿宋_GB2312" w:hAnsi="仿宋_GB2312" w:eastAsia="仿宋_GB2312" w:cs="仿宋_GB2312"/>
          <w:sz w:val="32"/>
          <w:szCs w:val="32"/>
        </w:rPr>
        <w:t>临聘书记员及临聘司法协警工资</w:t>
      </w:r>
      <w:r>
        <w:rPr>
          <w:rFonts w:hint="eastAsia" w:ascii="仿宋_GB2312" w:hAnsi="仿宋_GB2312" w:eastAsia="仿宋_GB2312" w:cs="仿宋_GB2312"/>
          <w:sz w:val="32"/>
          <w:szCs w:val="32"/>
          <w:lang w:eastAsia="zh-CN"/>
        </w:rPr>
        <w:t>支付。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四是扫黑除恶专项办案经费</w:t>
      </w:r>
      <w:r>
        <w:rPr>
          <w:rFonts w:hint="eastAsia" w:ascii="仿宋_GB2312" w:hAnsi="仿宋_GB2312" w:eastAsia="仿宋_GB2312" w:cs="仿宋_GB2312"/>
          <w:sz w:val="32"/>
          <w:szCs w:val="32"/>
        </w:rPr>
        <w:t>项目。项目全年预算数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%。通过项目实施，保障了依法办案</w:t>
      </w:r>
      <w:r>
        <w:rPr>
          <w:rFonts w:hint="eastAsia" w:ascii="仿宋_GB2312" w:hAnsi="仿宋_GB2312" w:eastAsia="仿宋_GB2312" w:cs="仿宋_GB2312"/>
          <w:sz w:val="32"/>
          <w:szCs w:val="32"/>
          <w:lang w:eastAsia="zh-CN"/>
        </w:rPr>
        <w:t>扫黑除恶相关案件</w:t>
      </w:r>
      <w:r>
        <w:rPr>
          <w:rFonts w:hint="eastAsia" w:ascii="仿宋_GB2312" w:hAnsi="仿宋_GB2312" w:eastAsia="仿宋_GB2312" w:cs="仿宋_GB2312"/>
          <w:sz w:val="32"/>
          <w:szCs w:val="32"/>
        </w:rPr>
        <w:t>，坚持打准打狠，深入推进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扫黑除恶专项斗争，发现的主要问题：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继续规范使用专项办案经费，完成相应绩效目标。</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w:t>
      </w:r>
      <w:r>
        <w:rPr>
          <w:rFonts w:hint="eastAsia" w:ascii="方正仿宋_GBK" w:hAnsi="宋体" w:eastAsia="方正仿宋_GBK" w:cs="宋体"/>
          <w:color w:val="000000"/>
          <w:kern w:val="0"/>
          <w:sz w:val="33"/>
          <w:szCs w:val="33"/>
          <w:shd w:val="clear" w:color="auto" w:fill="FFFFFF"/>
          <w:lang w:eastAsia="zh-CN"/>
        </w:rPr>
        <w:t>二</w:t>
      </w:r>
      <w:r>
        <w:rPr>
          <w:rFonts w:hint="eastAsia" w:ascii="方正仿宋_GBK" w:hAnsi="宋体" w:eastAsia="方正仿宋_GBK" w:cs="宋体"/>
          <w:color w:val="000000"/>
          <w:kern w:val="0"/>
          <w:sz w:val="33"/>
          <w:szCs w:val="33"/>
          <w:shd w:val="clear" w:color="auto" w:fill="FFFFFF"/>
          <w:lang w:val="zh-CN"/>
        </w:rPr>
        <w:t>）结果应用情况。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我院按要求向财政部门报告绩效自评报告等相关绩效信息，且自评结果良好，针对绩效评价发现问题制定整改措施，并整改落实到位，同时积极将应用结果反馈到工作中及时改进。对部门整体支出绩效自评报告按要求公开，主动接受人民群众的监督。</w:t>
      </w:r>
    </w:p>
    <w:p>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w:t>
      </w:r>
      <w:r>
        <w:rPr>
          <w:rFonts w:hint="eastAsia" w:ascii="方正仿宋_GBK" w:hAnsi="宋体" w:eastAsia="方正仿宋_GBK" w:cs="宋体"/>
          <w:color w:val="000000"/>
          <w:kern w:val="0"/>
          <w:sz w:val="33"/>
          <w:szCs w:val="33"/>
          <w:shd w:val="clear" w:color="auto" w:fill="FFFFFF"/>
          <w:lang w:eastAsia="zh-CN"/>
        </w:rPr>
        <w:t>三</w:t>
      </w:r>
      <w:r>
        <w:rPr>
          <w:rFonts w:hint="eastAsia" w:ascii="方正仿宋_GBK" w:hAnsi="宋体" w:eastAsia="方正仿宋_GBK" w:cs="宋体"/>
          <w:color w:val="000000"/>
          <w:kern w:val="0"/>
          <w:sz w:val="33"/>
          <w:szCs w:val="33"/>
          <w:shd w:val="clear" w:color="auto" w:fill="FFFFFF"/>
          <w:lang w:val="zh-CN"/>
        </w:rPr>
        <w:t>）自评质量。</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参照评价标准对部门及下属单位自评进行抽查，抽查差异在5%以内，自评质量较高。</w:t>
      </w:r>
    </w:p>
    <w:p>
      <w:pPr>
        <w:widowControl/>
        <w:adjustRightInd w:val="0"/>
        <w:snapToGrid w:val="0"/>
        <w:spacing w:line="580" w:lineRule="exact"/>
        <w:ind w:firstLine="660" w:firstLineChars="200"/>
        <w:contextualSpacing/>
        <w:jc w:val="left"/>
        <w:rPr>
          <w:rFonts w:ascii="方正黑体_GBK" w:hAnsi="宋体" w:eastAsia="方正黑体_GBK" w:cs="宋体"/>
          <w:color w:val="000000"/>
          <w:kern w:val="0"/>
          <w:sz w:val="33"/>
          <w:szCs w:val="33"/>
          <w:shd w:val="clear" w:color="auto" w:fill="FFFFFF"/>
        </w:rPr>
      </w:pPr>
      <w:r>
        <w:rPr>
          <w:rFonts w:hint="eastAsia" w:ascii="方正黑体_GBK" w:hAnsi="宋体" w:eastAsia="方正黑体_GBK" w:cs="宋体"/>
          <w:color w:val="000000"/>
          <w:kern w:val="0"/>
          <w:sz w:val="33"/>
          <w:szCs w:val="33"/>
          <w:shd w:val="clear" w:color="auto" w:fill="FFFFFF"/>
        </w:rPr>
        <w:t>四、评价结论及建议</w:t>
      </w:r>
    </w:p>
    <w:p>
      <w:pPr>
        <w:widowControl/>
        <w:adjustRightInd w:val="0"/>
        <w:snapToGrid w:val="0"/>
        <w:spacing w:line="540" w:lineRule="exact"/>
        <w:ind w:firstLine="720"/>
        <w:jc w:val="left"/>
        <w:rPr>
          <w:rFonts w:ascii="方正仿宋_GBK" w:hAnsi="宋体" w:eastAsia="方正仿宋_GBK" w:cs="宋体"/>
          <w:color w:val="000000"/>
          <w:kern w:val="0"/>
          <w:sz w:val="33"/>
          <w:szCs w:val="33"/>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（一）评价结论。</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rPr>
        <w:t>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lang w:val="zh-CN"/>
        </w:rPr>
        <w:t>年我院部门预算支出绩效自评结果良好，自评分数</w:t>
      </w:r>
      <w:r>
        <w:rPr>
          <w:rFonts w:hint="eastAsia" w:ascii="仿宋_GB2312" w:hAnsi="仿宋_GB2312" w:eastAsia="仿宋_GB2312" w:cs="仿宋_GB2312"/>
          <w:color w:val="000000"/>
          <w:kern w:val="0"/>
          <w:sz w:val="32"/>
          <w:szCs w:val="32"/>
          <w:shd w:val="clear" w:color="auto" w:fill="FFFFFF"/>
          <w:lang w:val="en-US" w:eastAsia="zh-CN"/>
        </w:rPr>
        <w:t>74.9分</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60" w:firstLineChars="200"/>
        <w:contextualSpacing/>
        <w:jc w:val="left"/>
        <w:rPr>
          <w:rFonts w:hint="eastAsia" w:ascii="方正仿宋_GBK" w:hAnsi="宋体" w:eastAsia="仿宋_GB2312" w:cs="宋体"/>
          <w:color w:val="000000"/>
          <w:kern w:val="0"/>
          <w:sz w:val="33"/>
          <w:szCs w:val="33"/>
          <w:shd w:val="clear" w:color="auto" w:fill="FFFFFF"/>
          <w:lang w:val="en-US" w:eastAsia="zh-CN"/>
        </w:rPr>
      </w:pPr>
      <w:r>
        <w:rPr>
          <w:rFonts w:hint="eastAsia" w:ascii="方正仿宋_GBK" w:hAnsi="宋体" w:eastAsia="方正仿宋_GBK" w:cs="宋体"/>
          <w:color w:val="000000"/>
          <w:kern w:val="0"/>
          <w:sz w:val="33"/>
          <w:szCs w:val="33"/>
          <w:shd w:val="clear" w:color="auto" w:fill="FFFFFF"/>
          <w:lang w:val="zh-CN"/>
        </w:rPr>
        <w:t>（二）存在问题。</w:t>
      </w:r>
      <w:r>
        <w:rPr>
          <w:rFonts w:hint="eastAsia" w:ascii="仿宋_GB2312" w:hAnsi="仿宋_GB2312" w:eastAsia="仿宋_GB2312" w:cs="仿宋_GB2312"/>
          <w:color w:val="000000"/>
          <w:kern w:val="0"/>
          <w:sz w:val="32"/>
          <w:szCs w:val="32"/>
          <w:shd w:val="clear" w:color="auto" w:fill="FFFFFF"/>
          <w:lang w:val="zh-CN"/>
        </w:rPr>
        <w:t>我院的部门绩效自评流程有待改进；绩效评价指标体系设置需要进一步细化</w:t>
      </w:r>
      <w:r>
        <w:rPr>
          <w:rFonts w:hint="eastAsia" w:ascii="仿宋_GB2312" w:hAnsi="仿宋_GB2312" w:eastAsia="仿宋_GB2312" w:cs="仿宋_GB2312"/>
          <w:color w:val="000000"/>
          <w:kern w:val="0"/>
          <w:sz w:val="32"/>
          <w:szCs w:val="32"/>
          <w:shd w:val="clear" w:color="auto" w:fill="FFFFFF"/>
          <w:lang w:val="en-US" w:eastAsia="zh-CN"/>
        </w:rPr>
        <w:t>;需加快推进项目执行进度。</w:t>
      </w:r>
    </w:p>
    <w:p>
      <w:pPr>
        <w:spacing w:line="580" w:lineRule="exact"/>
        <w:ind w:firstLine="66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方正仿宋_GBK" w:hAnsi="宋体" w:eastAsia="方正仿宋_GBK" w:cs="宋体"/>
          <w:color w:val="000000"/>
          <w:kern w:val="0"/>
          <w:sz w:val="33"/>
          <w:szCs w:val="33"/>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加强预算绩效管理相关知识学习，更加客观、公正的对财政支出的经济性、效率性和效益性进行评价。同时进一步细化绩效评价指标设置，确保资金支出发挥最大效益。</w:t>
      </w:r>
    </w:p>
    <w:p>
      <w:pPr>
        <w:spacing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临聘书记员及临聘司法协警专项业务费</w:t>
      </w: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项目</w:t>
      </w:r>
      <w:r>
        <w:rPr>
          <w:rFonts w:hint="eastAsia"/>
          <w:lang w:val="en-US" w:eastAsia="zh-CN"/>
        </w:rPr>
        <w:t>2021年</w:t>
      </w:r>
      <w:r>
        <w:rPr>
          <w:rFonts w:hint="eastAsia"/>
        </w:rPr>
        <w:t>绩效</w:t>
      </w:r>
      <w:r>
        <w:rPr>
          <w:rFonts w:hint="eastAsia"/>
          <w:lang w:eastAsia="zh-CN"/>
        </w:rPr>
        <w:t>评价</w:t>
      </w:r>
      <w:r>
        <w:rPr>
          <w:rFonts w:hint="eastAsia"/>
        </w:rPr>
        <w:t>报告</w:t>
      </w:r>
    </w:p>
    <w:p>
      <w:pPr>
        <w:pStyle w:val="33"/>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楷体_GB2312" w:hAnsi="宋体" w:eastAsia="楷体_GB2312"/>
          <w:b/>
          <w:sz w:val="32"/>
          <w:szCs w:val="32"/>
          <w:lang w:val="zh-CN"/>
        </w:rPr>
        <w:t>（一）项目基本情况。</w:t>
      </w:r>
      <w:r>
        <w:rPr>
          <w:rFonts w:hint="eastAsia" w:ascii="仿宋_GB2312" w:hAnsi="宋体"/>
          <w:sz w:val="32"/>
          <w:szCs w:val="32"/>
          <w:lang w:val="zh-CN"/>
        </w:rPr>
        <w:t>广安市人民检察院负责牵头实施临聘书记员及临聘司法协警工资项目、编制实施方案等，年初按程序申报资金</w:t>
      </w:r>
      <w:r>
        <w:rPr>
          <w:rFonts w:hint="eastAsia" w:ascii="仿宋_GB2312" w:hAnsi="宋体"/>
          <w:sz w:val="32"/>
          <w:szCs w:val="32"/>
          <w:lang w:val="en-US" w:eastAsia="zh-CN"/>
        </w:rPr>
        <w:t>70</w:t>
      </w:r>
      <w:r>
        <w:rPr>
          <w:rFonts w:hint="eastAsia" w:ascii="仿宋_GB2312" w:hAnsi="宋体"/>
          <w:sz w:val="32"/>
          <w:szCs w:val="32"/>
          <w:lang w:val="zh-CN"/>
        </w:rPr>
        <w:t>万元、预算批复</w:t>
      </w:r>
      <w:r>
        <w:rPr>
          <w:rFonts w:hint="eastAsia" w:ascii="仿宋_GB2312" w:hAnsi="宋体"/>
          <w:sz w:val="32"/>
          <w:szCs w:val="32"/>
          <w:lang w:val="en-US" w:eastAsia="zh-CN"/>
        </w:rPr>
        <w:t>70</w:t>
      </w:r>
      <w:r>
        <w:rPr>
          <w:rFonts w:hint="eastAsia" w:ascii="仿宋_GB2312" w:hAnsi="宋体"/>
          <w:sz w:val="32"/>
          <w:szCs w:val="32"/>
          <w:lang w:val="zh-CN"/>
        </w:rPr>
        <w:t>万元。主要用于支付临聘书记员及临聘司法协警工资。项目立项及资金申报依据为市委会议纪要，符合预算法、资金管理办法等相关规定，项目申报内容与具体实施内容相符，申报目标合理可行。科学合理安排资金预算支出，全年相关费用控制在</w:t>
      </w:r>
      <w:r>
        <w:rPr>
          <w:rFonts w:hint="eastAsia" w:ascii="仿宋_GB2312" w:hAnsi="宋体"/>
          <w:sz w:val="32"/>
          <w:szCs w:val="32"/>
          <w:lang w:val="en-US" w:eastAsia="zh-CN"/>
        </w:rPr>
        <w:t>70</w:t>
      </w:r>
      <w:r>
        <w:rPr>
          <w:rFonts w:hint="eastAsia" w:ascii="仿宋_GB2312" w:hAnsi="宋体"/>
          <w:sz w:val="32"/>
          <w:szCs w:val="32"/>
          <w:lang w:val="zh-CN"/>
        </w:rPr>
        <w:t>万元以内，着力保障支付临聘书记员及临聘司法协警工资，确保工作进展。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楷体_GB2312" w:hAnsi="宋体" w:eastAsia="楷体_GB2312"/>
          <w:b/>
          <w:sz w:val="32"/>
          <w:szCs w:val="32"/>
          <w:lang w:val="zh-CN"/>
        </w:rPr>
        <w:t>（二）项目绩效目标。</w:t>
      </w:r>
      <w:r>
        <w:rPr>
          <w:rFonts w:hint="eastAsia" w:ascii="仿宋_GB2312" w:hAnsi="宋体"/>
          <w:sz w:val="32"/>
          <w:szCs w:val="32"/>
          <w:lang w:val="zh-CN"/>
        </w:rPr>
        <w:t>项目主要内容为支付临聘书记员及临聘司法协警工资，绩效目标为保障临聘书记员及临聘司法协警工资支付</w:t>
      </w:r>
      <w:r>
        <w:rPr>
          <w:rFonts w:hint="eastAsia" w:ascii="仿宋_GB2312" w:hAnsi="宋体"/>
          <w:sz w:val="32"/>
          <w:szCs w:val="32"/>
          <w:lang w:val="zh-CN" w:eastAsia="zh-CN"/>
        </w:rPr>
        <w:t>。</w:t>
      </w:r>
      <w:r>
        <w:rPr>
          <w:rFonts w:hint="eastAsia" w:ascii="仿宋_GB2312" w:hAnsi="宋体"/>
          <w:sz w:val="32"/>
          <w:szCs w:val="32"/>
          <w:lang w:val="zh-CN"/>
        </w:rPr>
        <w:t>计划实现的具体绩效目标为：按现有员额检察官应配备临聘人员人数解决就业岗位、员额制检察官对书记员及协警满意度≥</w:t>
      </w:r>
      <w:r>
        <w:rPr>
          <w:rFonts w:hint="eastAsia" w:ascii="仿宋_GB2312" w:hAnsi="宋体"/>
          <w:sz w:val="32"/>
          <w:szCs w:val="32"/>
          <w:lang w:val="en-US" w:eastAsia="zh-CN"/>
        </w:rPr>
        <w:t>85</w:t>
      </w:r>
      <w:r>
        <w:rPr>
          <w:rFonts w:hint="eastAsia" w:ascii="仿宋_GB2312" w:hAnsi="宋体"/>
          <w:sz w:val="32"/>
          <w:szCs w:val="32"/>
          <w:lang w:val="zh-CN"/>
        </w:rPr>
        <w:t>%、司法体制改革目标落实率≥90%、工资发放及时准确率≥9</w:t>
      </w:r>
      <w:r>
        <w:rPr>
          <w:rFonts w:hint="eastAsia" w:ascii="仿宋_GB2312" w:hAnsi="宋体"/>
          <w:sz w:val="32"/>
          <w:szCs w:val="32"/>
          <w:lang w:val="en-US" w:eastAsia="zh-CN"/>
        </w:rPr>
        <w:t>5</w:t>
      </w:r>
      <w:r>
        <w:rPr>
          <w:rFonts w:hint="eastAsia" w:ascii="仿宋_GB2312" w:hAnsi="宋体"/>
          <w:sz w:val="32"/>
          <w:szCs w:val="32"/>
          <w:lang w:val="zh-CN"/>
        </w:rPr>
        <w:t>%、</w:t>
      </w:r>
      <w:r>
        <w:rPr>
          <w:rFonts w:hint="eastAsia" w:ascii="仿宋_GB2312" w:hAnsi="宋体"/>
          <w:sz w:val="32"/>
          <w:szCs w:val="32"/>
          <w:lang w:val="en-US" w:eastAsia="zh-CN"/>
        </w:rPr>
        <w:t>2021年12月31日前</w:t>
      </w:r>
      <w:r>
        <w:rPr>
          <w:rFonts w:hint="eastAsia" w:ascii="仿宋_GB2312" w:hAnsi="宋体"/>
          <w:sz w:val="32"/>
          <w:szCs w:val="32"/>
          <w:lang w:val="zh-CN"/>
        </w:rPr>
        <w:t>完成等。项目进度按时间进度有序推进。项目申报内容与具体实施内容相符、申报目标合理可行。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sz w:val="32"/>
          <w:szCs w:val="32"/>
          <w:lang w:val="zh-CN"/>
        </w:rPr>
      </w:pPr>
      <w:r>
        <w:rPr>
          <w:rFonts w:hint="eastAsia" w:ascii="仿宋_GB2312" w:hAnsi="宋体"/>
          <w:sz w:val="32"/>
          <w:szCs w:val="32"/>
          <w:lang w:val="zh-CN"/>
        </w:rPr>
        <w:t>根据项目实际开展情况、项目资金支付情况及绩效目标完成情况，进行项目自评。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仿宋_GB2312" w:hAnsi="宋体"/>
          <w:sz w:val="32"/>
          <w:szCs w:val="32"/>
          <w:lang w:val="zh-CN"/>
        </w:rPr>
        <w:t>临聘书记员及临聘司法协警专项业务费项目年初按程序申报资金</w:t>
      </w:r>
      <w:r>
        <w:rPr>
          <w:rFonts w:hint="eastAsia" w:ascii="仿宋_GB2312" w:hAnsi="宋体"/>
          <w:sz w:val="32"/>
          <w:szCs w:val="32"/>
          <w:lang w:val="en-US" w:eastAsia="zh-CN"/>
        </w:rPr>
        <w:t>70</w:t>
      </w:r>
      <w:r>
        <w:rPr>
          <w:rFonts w:hint="eastAsia" w:ascii="仿宋_GB2312" w:hAnsi="宋体"/>
          <w:sz w:val="32"/>
          <w:szCs w:val="32"/>
          <w:lang w:val="zh-CN"/>
        </w:rPr>
        <w:t>万元、预算批复</w:t>
      </w:r>
      <w:r>
        <w:rPr>
          <w:rFonts w:hint="eastAsia" w:ascii="仿宋_GB2312" w:hAnsi="宋体"/>
          <w:sz w:val="32"/>
          <w:szCs w:val="32"/>
          <w:lang w:val="en-US" w:eastAsia="zh-CN"/>
        </w:rPr>
        <w:t>70</w:t>
      </w:r>
      <w:r>
        <w:rPr>
          <w:rFonts w:hint="eastAsia" w:ascii="仿宋_GB2312" w:hAnsi="宋体"/>
          <w:sz w:val="32"/>
          <w:szCs w:val="32"/>
          <w:lang w:val="zh-CN"/>
        </w:rPr>
        <w:t>万元。主要用于支付临聘书记员及临聘司法协警工资。符合预算法、资金管理办法等相关规定。项目申报内容与具体实施内容相符，申报目标合理可行。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sz w:val="32"/>
          <w:szCs w:val="32"/>
          <w:lang w:val="en-US" w:eastAsia="zh-CN"/>
        </w:rPr>
      </w:pPr>
      <w:r>
        <w:rPr>
          <w:rFonts w:hint="eastAsia" w:ascii="楷体_GB2312" w:hAnsi="宋体" w:eastAsia="楷体_GB2312"/>
          <w:sz w:val="32"/>
          <w:szCs w:val="32"/>
          <w:lang w:val="zh-CN"/>
        </w:rPr>
        <w:t>1．资金计划。</w:t>
      </w:r>
      <w:r>
        <w:rPr>
          <w:rFonts w:hint="eastAsia" w:ascii="仿宋_GB2312" w:hAnsi="宋体"/>
          <w:sz w:val="32"/>
          <w:szCs w:val="32"/>
          <w:lang w:val="zh-CN"/>
        </w:rPr>
        <w:t>该项目资金年初预算计划</w:t>
      </w:r>
      <w:r>
        <w:rPr>
          <w:rFonts w:hint="eastAsia" w:ascii="仿宋_GB2312" w:hAnsi="宋体"/>
          <w:sz w:val="32"/>
          <w:szCs w:val="32"/>
          <w:lang w:val="en-US" w:eastAsia="zh-CN"/>
        </w:rPr>
        <w:t>70万元。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sz w:val="32"/>
          <w:szCs w:val="32"/>
          <w:lang w:val="zh-CN"/>
        </w:rPr>
      </w:pPr>
      <w:r>
        <w:rPr>
          <w:rFonts w:hint="eastAsia" w:ascii="楷体_GB2312" w:hAnsi="宋体" w:eastAsia="楷体_GB2312"/>
          <w:sz w:val="32"/>
          <w:szCs w:val="32"/>
          <w:lang w:val="en-US" w:eastAsia="zh-CN"/>
        </w:rPr>
        <w:t xml:space="preserve">2. </w:t>
      </w:r>
      <w:r>
        <w:rPr>
          <w:rFonts w:hint="eastAsia" w:ascii="楷体_GB2312" w:hAnsi="宋体" w:eastAsia="楷体_GB2312"/>
          <w:sz w:val="32"/>
          <w:szCs w:val="32"/>
          <w:lang w:val="zh-CN"/>
        </w:rPr>
        <w:t>资金到位。</w:t>
      </w:r>
      <w:r>
        <w:rPr>
          <w:rFonts w:hint="eastAsia" w:ascii="仿宋_GB2312" w:hAnsi="宋体"/>
          <w:sz w:val="32"/>
          <w:szCs w:val="32"/>
          <w:lang w:val="zh-CN"/>
        </w:rPr>
        <w:t>该项目年初下达</w:t>
      </w:r>
      <w:r>
        <w:rPr>
          <w:rFonts w:hint="eastAsia" w:ascii="仿宋_GB2312" w:hAnsi="宋体"/>
          <w:sz w:val="32"/>
          <w:szCs w:val="32"/>
          <w:lang w:val="en-US" w:eastAsia="zh-CN"/>
        </w:rPr>
        <w:t>70万元，资金到位100%，</w:t>
      </w:r>
      <w:r>
        <w:rPr>
          <w:rFonts w:hint="eastAsia" w:ascii="仿宋_GB2312" w:hAnsi="宋体" w:cs="Times New Roman"/>
          <w:sz w:val="32"/>
          <w:szCs w:val="32"/>
          <w:lang w:val="zh-CN" w:eastAsia="zh-CN"/>
        </w:rPr>
        <w:t>到位及时率100%，</w:t>
      </w:r>
      <w:r>
        <w:rPr>
          <w:rFonts w:hint="eastAsia" w:ascii="仿宋_GB2312" w:hAnsi="宋体"/>
          <w:sz w:val="32"/>
          <w:szCs w:val="32"/>
          <w:lang w:val="en-US" w:eastAsia="zh-CN"/>
        </w:rPr>
        <w:t xml:space="preserve">为市财政拨款资金。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sz w:val="32"/>
          <w:szCs w:val="32"/>
          <w:lang w:val="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r>
        <w:rPr>
          <w:rFonts w:hint="eastAsia" w:ascii="仿宋_GB2312" w:hAnsi="宋体"/>
          <w:sz w:val="32"/>
          <w:szCs w:val="32"/>
          <w:lang w:val="en-US" w:eastAsia="zh-CN"/>
        </w:rPr>
        <w:t>2021年共计支付70万元，均用于支付</w:t>
      </w:r>
      <w:r>
        <w:rPr>
          <w:rFonts w:hint="eastAsia" w:ascii="仿宋_GB2312" w:hAnsi="宋体"/>
          <w:sz w:val="32"/>
          <w:szCs w:val="32"/>
          <w:lang w:val="zh-CN"/>
        </w:rPr>
        <w:t>临聘书记员及临聘司法协警工资</w:t>
      </w:r>
      <w:r>
        <w:rPr>
          <w:rFonts w:hint="eastAsia" w:ascii="仿宋_GB2312" w:hAnsi="宋体"/>
          <w:sz w:val="32"/>
          <w:szCs w:val="32"/>
          <w:lang w:val="zh-CN" w:eastAsia="zh-CN"/>
        </w:rPr>
        <w:t>。</w:t>
      </w:r>
      <w:r>
        <w:rPr>
          <w:rFonts w:hint="eastAsia" w:ascii="仿宋_GB2312" w:hAnsi="宋体"/>
          <w:sz w:val="32"/>
          <w:szCs w:val="32"/>
          <w:lang w:val="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黑体" w:hAnsi="宋体" w:eastAsia="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sz w:val="32"/>
          <w:szCs w:val="32"/>
          <w:lang w:val="zh-CN"/>
        </w:rPr>
      </w:pPr>
      <w:r>
        <w:rPr>
          <w:rFonts w:hint="eastAsia" w:ascii="仿宋_GB2312" w:hAnsi="宋体"/>
          <w:sz w:val="32"/>
          <w:szCs w:val="32"/>
          <w:lang w:val="zh-CN"/>
        </w:rPr>
        <w:t>项目由广安人民检察院管理，严格按照临聘书记员及临聘司法协警专项业务费项目预算绩效目标、工作计划等实施。该项目为临聘人员工资保障经费，按月根据实际情况支付临聘人员工资。</w:t>
      </w:r>
    </w:p>
    <w:p>
      <w:pPr>
        <w:pStyle w:val="2"/>
        <w:keepNext w:val="0"/>
        <w:keepLines w:val="0"/>
        <w:pageBreakBefore w:val="0"/>
        <w:widowControl w:val="0"/>
        <w:numPr>
          <w:ilvl w:val="0"/>
          <w:numId w:val="0"/>
        </w:numPr>
        <w:kinsoku/>
        <w:wordWrap/>
        <w:overflowPunct/>
        <w:topLinePunct w:val="0"/>
        <w:autoSpaceDE/>
        <w:autoSpaceDN/>
        <w:bidi w:val="0"/>
        <w:adjustRightInd w:val="0"/>
        <w:snapToGrid/>
        <w:ind w:leftChars="0"/>
        <w:jc w:val="both"/>
        <w:textAlignment w:val="auto"/>
        <w:rPr>
          <w:rFonts w:hint="eastAsia" w:ascii="楷体_GB2312" w:hAnsi="宋体" w:eastAsia="楷体_GB2312" w:cs="Times New Roman"/>
          <w:b/>
          <w:kern w:val="2"/>
          <w:sz w:val="32"/>
          <w:szCs w:val="32"/>
          <w:lang w:val="zh-CN" w:eastAsia="zh-CN" w:bidi="ar-SA"/>
        </w:rPr>
      </w:pPr>
      <w:r>
        <w:rPr>
          <w:rFonts w:hint="eastAsia" w:ascii="楷体_GB2312" w:hAnsi="宋体" w:eastAsia="楷体_GB2312" w:cs="Times New Roman"/>
          <w:b/>
          <w:kern w:val="2"/>
          <w:sz w:val="32"/>
          <w:szCs w:val="32"/>
          <w:lang w:val="en-US" w:eastAsia="zh-CN" w:bidi="ar-SA"/>
        </w:rPr>
        <w:t xml:space="preserve">     （二）</w:t>
      </w:r>
      <w:r>
        <w:rPr>
          <w:rFonts w:hint="eastAsia" w:ascii="楷体_GB2312" w:hAnsi="宋体" w:eastAsia="楷体_GB2312" w:cs="Times New Roman"/>
          <w:b/>
          <w:kern w:val="2"/>
          <w:sz w:val="32"/>
          <w:szCs w:val="32"/>
          <w:lang w:val="zh-CN" w:eastAsia="zh-CN" w:bidi="ar-SA"/>
        </w:rPr>
        <w:t>项目管理情况。</w:t>
      </w:r>
      <w:r>
        <w:rPr>
          <w:rFonts w:hint="eastAsia" w:ascii="仿宋_GB2312" w:hAnsi="宋体" w:eastAsia="宋体" w:cs="Times New Roman"/>
          <w:kern w:val="2"/>
          <w:sz w:val="32"/>
          <w:szCs w:val="32"/>
          <w:lang w:val="zh-CN" w:eastAsia="zh-CN" w:bidi="ar-SA"/>
        </w:rPr>
        <w:t>在规定范围内开展工作，实施单位均能严格执行相关法律法规及项目管理制度。</w:t>
      </w:r>
    </w:p>
    <w:p>
      <w:pPr>
        <w:adjustRightInd w:val="0"/>
        <w:snapToGrid w:val="0"/>
        <w:spacing w:line="600" w:lineRule="exact"/>
        <w:ind w:firstLine="643" w:firstLineChars="200"/>
        <w:rPr>
          <w:rFonts w:hint="default" w:ascii="楷体_GB2312" w:hAnsi="宋体" w:eastAsia="楷体_GB2312" w:cs="Times New Roman"/>
          <w:b/>
          <w:kern w:val="2"/>
          <w:sz w:val="32"/>
          <w:szCs w:val="32"/>
          <w:lang w:val="en-US" w:eastAsia="zh-CN" w:bidi="ar-SA"/>
        </w:rPr>
      </w:pPr>
      <w:r>
        <w:rPr>
          <w:rFonts w:hint="eastAsia" w:ascii="楷体_GB2312" w:hAnsi="宋体" w:eastAsia="楷体_GB2312"/>
          <w:b/>
          <w:sz w:val="32"/>
          <w:szCs w:val="32"/>
          <w:lang w:val="zh-CN"/>
        </w:rPr>
        <w:t>（三）项目监管情况。</w:t>
      </w:r>
      <w:r>
        <w:rPr>
          <w:rFonts w:hint="eastAsia" w:ascii="仿宋_GB2312" w:hAnsi="宋体" w:eastAsia="宋体" w:cs="Times New Roman"/>
          <w:kern w:val="2"/>
          <w:sz w:val="32"/>
          <w:szCs w:val="32"/>
          <w:lang w:val="zh-CN" w:eastAsia="zh-CN" w:bidi="ar-SA"/>
        </w:rPr>
        <w:t>市纪委驻派纪检组及市院检务督察部对项目进行情况进行监管。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黑体" w:hAnsi="宋体" w:eastAsia="黑体"/>
          <w:sz w:val="32"/>
          <w:szCs w:val="32"/>
          <w:lang w:eastAsia="zh-CN"/>
        </w:rPr>
        <w:t>四</w:t>
      </w:r>
      <w:r>
        <w:rPr>
          <w:rFonts w:hint="eastAsia" w:ascii="黑体" w:hAnsi="宋体" w:eastAsia="黑体"/>
          <w:sz w:val="32"/>
          <w:szCs w:val="32"/>
        </w:rPr>
        <w:t>、项目绩效情况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default" w:ascii="仿宋_GB2312" w:hAnsi="仿宋_GB2312" w:eastAsia="仿宋_GB2312" w:cs="仿宋_GB2312"/>
          <w:sz w:val="32"/>
          <w:szCs w:val="32"/>
          <w:lang w:val="en-US" w:eastAsia="zh-CN"/>
        </w:rPr>
      </w:pPr>
      <w:r>
        <w:rPr>
          <w:rFonts w:hint="eastAsia" w:ascii="仿宋_GB2312" w:hAnsi="宋体" w:eastAsia="宋体" w:cs="Times New Roman"/>
          <w:kern w:val="2"/>
          <w:sz w:val="32"/>
          <w:szCs w:val="32"/>
          <w:lang w:val="zh-CN" w:eastAsia="zh-CN" w:bidi="ar-SA"/>
        </w:rPr>
        <w:t>完成了年初绩效目标，保障了临聘书记员及临聘司法协警工资发放</w:t>
      </w:r>
      <w:r>
        <w:rPr>
          <w:rFonts w:hint="eastAsia" w:ascii="仿宋_GB2312" w:hAnsi="宋体" w:cs="Times New Roman"/>
          <w:kern w:val="2"/>
          <w:sz w:val="32"/>
          <w:szCs w:val="32"/>
          <w:lang w:val="zh-CN" w:eastAsia="zh-CN" w:bidi="ar-SA"/>
        </w:rPr>
        <w:t>，质量指标达到</w:t>
      </w:r>
      <w:r>
        <w:rPr>
          <w:rFonts w:hint="eastAsia" w:ascii="仿宋_GB2312" w:hAnsi="宋体" w:cs="Times New Roman"/>
          <w:kern w:val="2"/>
          <w:sz w:val="32"/>
          <w:szCs w:val="32"/>
          <w:lang w:val="en-US" w:eastAsia="zh-CN" w:bidi="ar-SA"/>
        </w:rPr>
        <w:t>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宋体" w:cs="Times New Roman"/>
          <w:kern w:val="2"/>
          <w:sz w:val="32"/>
          <w:szCs w:val="32"/>
          <w:lang w:val="zh-CN" w:eastAsia="zh-CN" w:bidi="ar-SA"/>
        </w:rPr>
        <w:t>促进司法体制改革，面向社会提供就业岗位，提升了员额检察官对临聘书记员等的满意度。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rPr>
      </w:pPr>
      <w:r>
        <w:rPr>
          <w:rFonts w:hint="eastAsia" w:ascii="黑体" w:hAnsi="宋体" w:eastAsia="黑体"/>
          <w:sz w:val="32"/>
          <w:szCs w:val="32"/>
          <w:lang w:eastAsia="zh-CN"/>
        </w:rPr>
        <w:t>五</w:t>
      </w:r>
      <w:r>
        <w:rPr>
          <w:rFonts w:hint="eastAsia" w:ascii="黑体" w:hAnsi="宋体" w:eastAsia="黑体"/>
          <w:sz w:val="32"/>
          <w:szCs w:val="32"/>
        </w:rPr>
        <w:t>、</w:t>
      </w:r>
      <w:r>
        <w:rPr>
          <w:rFonts w:hint="eastAsia" w:ascii="黑体" w:hAnsi="宋体" w:eastAsia="黑体"/>
          <w:sz w:val="32"/>
          <w:szCs w:val="32"/>
          <w:lang w:eastAsia="zh-CN"/>
        </w:rPr>
        <w:t>评价结论</w:t>
      </w:r>
      <w:r>
        <w:rPr>
          <w:rFonts w:hint="eastAsia" w:ascii="黑体" w:hAnsi="宋体" w:eastAsia="黑体"/>
          <w:sz w:val="32"/>
          <w:szCs w:val="32"/>
        </w:rPr>
        <w:t>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宋体" w:cs="Times New Roman"/>
          <w:kern w:val="2"/>
          <w:sz w:val="32"/>
          <w:szCs w:val="32"/>
          <w:lang w:val="zh-CN" w:eastAsia="zh-CN" w:bidi="ar-SA"/>
        </w:rPr>
      </w:pPr>
      <w:r>
        <w:rPr>
          <w:rFonts w:hint="eastAsia" w:ascii="楷体_GB2312" w:hAnsi="宋体" w:eastAsia="楷体_GB2312"/>
          <w:b/>
          <w:sz w:val="32"/>
          <w:szCs w:val="32"/>
          <w:lang w:val="zh-CN"/>
        </w:rPr>
        <w:t>（一）评价结论。</w:t>
      </w:r>
      <w:r>
        <w:rPr>
          <w:rFonts w:hint="eastAsia" w:ascii="仿宋_GB2312" w:hAnsi="宋体" w:eastAsia="宋体" w:cs="Times New Roman"/>
          <w:kern w:val="2"/>
          <w:sz w:val="32"/>
          <w:szCs w:val="32"/>
          <w:lang w:val="zh-CN" w:eastAsia="zh-CN" w:bidi="ar-SA"/>
        </w:rPr>
        <w:t>项目完成情况较好。总体经费使用达到预期效果。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宋体" w:cs="Times New Roman"/>
          <w:kern w:val="2"/>
          <w:sz w:val="32"/>
          <w:szCs w:val="32"/>
          <w:lang w:val="zh-CN" w:eastAsia="zh-CN" w:bidi="ar-SA"/>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宋体" w:cs="Times New Roman"/>
          <w:kern w:val="2"/>
          <w:sz w:val="32"/>
          <w:szCs w:val="32"/>
          <w:lang w:val="zh-CN" w:eastAsia="zh-CN" w:bidi="ar-SA"/>
        </w:rPr>
      </w:pPr>
      <w:r>
        <w:rPr>
          <w:rFonts w:hint="eastAsia" w:ascii="楷体_GB2312" w:hAnsi="宋体" w:eastAsia="楷体_GB2312"/>
          <w:b/>
          <w:sz w:val="32"/>
          <w:szCs w:val="32"/>
          <w:lang w:val="zh-CN"/>
        </w:rPr>
        <w:t>（三）相关建议。</w:t>
      </w:r>
      <w:r>
        <w:rPr>
          <w:rFonts w:hint="eastAsia" w:ascii="仿宋_GB2312" w:hAnsi="宋体" w:eastAsia="宋体" w:cs="Times New Roman"/>
          <w:kern w:val="2"/>
          <w:sz w:val="32"/>
          <w:szCs w:val="32"/>
          <w:lang w:val="zh-CN" w:eastAsia="zh-CN" w:bidi="ar-SA"/>
        </w:rPr>
        <w:t>继续规范使用专项经费，完成相应绩效目标。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行政检察（含公益诉讼）专项经费项目</w:t>
      </w: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lang w:val="en-US" w:eastAsia="zh-CN"/>
        </w:rPr>
        <w:t>2021年</w:t>
      </w:r>
      <w:r>
        <w:rPr>
          <w:rFonts w:hint="eastAsia"/>
        </w:rPr>
        <w:t>绩效</w:t>
      </w:r>
      <w:r>
        <w:rPr>
          <w:rFonts w:hint="eastAsia"/>
          <w:lang w:eastAsia="zh-CN"/>
        </w:rPr>
        <w:t>评价</w:t>
      </w:r>
      <w:r>
        <w:rPr>
          <w:rFonts w:hint="eastAsia"/>
        </w:rPr>
        <w:t>报告</w:t>
      </w:r>
    </w:p>
    <w:p>
      <w:pPr>
        <w:pStyle w:val="33"/>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宋体"/>
          <w:sz w:val="32"/>
          <w:szCs w:val="32"/>
          <w:lang w:val="zh-CN"/>
        </w:rPr>
      </w:pPr>
      <w:r>
        <w:rPr>
          <w:rFonts w:hint="eastAsia" w:ascii="楷体_GB2312" w:hAnsi="宋体" w:eastAsia="楷体_GB2312"/>
          <w:b/>
          <w:sz w:val="32"/>
          <w:szCs w:val="32"/>
          <w:lang w:val="zh-CN"/>
        </w:rPr>
        <w:t>（一）项目基本情况。</w:t>
      </w:r>
      <w:r>
        <w:rPr>
          <w:rFonts w:hint="eastAsia" w:ascii="仿宋_GB2312" w:hAnsi="宋体" w:eastAsia="仿宋_GB2312" w:cs="Times New Roman"/>
          <w:sz w:val="32"/>
          <w:szCs w:val="32"/>
          <w:lang w:val="zh-CN"/>
        </w:rPr>
        <w:t>广安市人民检察院负责牵头实施</w:t>
      </w:r>
      <w:r>
        <w:rPr>
          <w:rFonts w:hint="eastAsia" w:ascii="仿宋_GB2312" w:hAnsi="仿宋_GB2312" w:eastAsia="仿宋_GB2312" w:cs="仿宋_GB2312"/>
          <w:sz w:val="32"/>
          <w:szCs w:val="32"/>
        </w:rPr>
        <w:t>行政检察（含公益诉讼）专项经费项目</w:t>
      </w:r>
      <w:r>
        <w:rPr>
          <w:rFonts w:hint="eastAsia" w:ascii="仿宋_GB2312" w:hAnsi="宋体" w:eastAsia="仿宋_GB2312" w:cs="Times New Roman"/>
          <w:sz w:val="32"/>
          <w:szCs w:val="32"/>
          <w:lang w:val="zh-CN"/>
        </w:rPr>
        <w:t>、编制实施方案等，年初按程序申报资金</w:t>
      </w:r>
      <w:r>
        <w:rPr>
          <w:rFonts w:hint="eastAsia" w:ascii="仿宋_GB2312" w:hAnsi="宋体" w:eastAsia="仿宋_GB2312" w:cs="Times New Roman"/>
          <w:sz w:val="32"/>
          <w:szCs w:val="32"/>
          <w:lang w:val="en-US" w:eastAsia="zh-CN"/>
        </w:rPr>
        <w:t>10</w:t>
      </w:r>
      <w:r>
        <w:rPr>
          <w:rFonts w:hint="eastAsia" w:ascii="仿宋_GB2312" w:hAnsi="宋体" w:eastAsia="仿宋_GB2312" w:cs="Times New Roman"/>
          <w:sz w:val="32"/>
          <w:szCs w:val="32"/>
          <w:lang w:val="zh-CN"/>
        </w:rPr>
        <w:t>万元、预算批复</w:t>
      </w:r>
      <w:r>
        <w:rPr>
          <w:rFonts w:hint="eastAsia" w:ascii="仿宋_GB2312" w:hAnsi="宋体" w:eastAsia="仿宋_GB2312" w:cs="Times New Roman"/>
          <w:sz w:val="32"/>
          <w:szCs w:val="32"/>
          <w:lang w:val="en-US" w:eastAsia="zh-CN"/>
        </w:rPr>
        <w:t>10</w:t>
      </w:r>
      <w:r>
        <w:rPr>
          <w:rFonts w:hint="eastAsia" w:ascii="仿宋_GB2312" w:hAnsi="宋体" w:eastAsia="仿宋_GB2312" w:cs="Times New Roman"/>
          <w:sz w:val="32"/>
          <w:szCs w:val="32"/>
          <w:lang w:val="zh-CN"/>
        </w:rPr>
        <w:t>万元。</w:t>
      </w:r>
      <w:r>
        <w:rPr>
          <w:rFonts w:hint="eastAsia" w:ascii="仿宋_GB2312" w:hAnsi="宋体" w:eastAsia="仿宋_GB2312"/>
          <w:sz w:val="32"/>
          <w:szCs w:val="32"/>
          <w:lang w:val="zh-CN"/>
        </w:rPr>
        <w:t>项目内容为参与及办理行政检察案件需要开展鉴定、评估、审计等办案调查活动，通过办理行政检察案件维护国家利益和社会公共利益。申报依据为会议纪要及广安市人民代表大会常务委员会关于加强行政检察工作的决议。符合预算法、资金管理办法等相关规定，项目申报内容与具体实施内容相符，申报目标合理可行。科学合理安排资金预算支出，全年相关费用控制在</w:t>
      </w:r>
      <w:r>
        <w:rPr>
          <w:rFonts w:hint="eastAsia" w:ascii="仿宋_GB2312" w:hAnsi="宋体" w:eastAsia="仿宋_GB2312"/>
          <w:sz w:val="32"/>
          <w:szCs w:val="32"/>
          <w:lang w:val="en-US" w:eastAsia="zh-CN"/>
        </w:rPr>
        <w:t>10</w:t>
      </w:r>
      <w:r>
        <w:rPr>
          <w:rFonts w:hint="eastAsia" w:ascii="仿宋_GB2312" w:hAnsi="宋体" w:eastAsia="仿宋_GB2312"/>
          <w:sz w:val="32"/>
          <w:szCs w:val="32"/>
          <w:lang w:val="zh-CN"/>
        </w:rPr>
        <w:t>万元以内，着力保障行政检察（含公益诉讼）专项经费开支，确保工作进展。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项目绩效目标为</w:t>
      </w:r>
      <w:r>
        <w:rPr>
          <w:rFonts w:hint="eastAsia" w:ascii="仿宋_GB2312" w:hAnsi="仿宋_GB2312" w:eastAsia="仿宋_GB2312" w:cs="仿宋_GB2312"/>
          <w:sz w:val="32"/>
          <w:szCs w:val="32"/>
        </w:rPr>
        <w:t>办理行政诉讼监督案件1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件，参与办理检察公益诉讼案件（包括民事公益诉讼、行政公益诉讼）20件</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zh-CN"/>
        </w:rPr>
        <w:t>维护国家利益和社会公共利益。</w:t>
      </w:r>
      <w:r>
        <w:rPr>
          <w:rFonts w:hint="eastAsia" w:ascii="仿宋_GB2312" w:hAnsi="宋体" w:eastAsia="仿宋_GB2312" w:cs="Times New Roman"/>
          <w:sz w:val="32"/>
          <w:szCs w:val="32"/>
          <w:lang w:val="zh-CN"/>
        </w:rPr>
        <w:t>项目进度按时间进度有序推进。项目申报内容与具体实施内容相符、申报目标合理可行。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2"/>
          <w:szCs w:val="32"/>
          <w:lang w:val="zh-CN"/>
        </w:rPr>
      </w:pPr>
      <w:r>
        <w:rPr>
          <w:rFonts w:hint="eastAsia" w:ascii="楷体_GB2312" w:hAnsi="宋体" w:eastAsia="楷体_GB2312"/>
          <w:b/>
          <w:sz w:val="32"/>
          <w:szCs w:val="32"/>
          <w:lang w:val="zh-CN"/>
        </w:rPr>
        <w:t>（三）项目自评步骤及方法。</w:t>
      </w:r>
      <w:r>
        <w:rPr>
          <w:rFonts w:hint="eastAsia" w:ascii="仿宋_GB2312" w:hAnsi="宋体" w:eastAsia="仿宋_GB2312" w:cs="Times New Roman"/>
          <w:sz w:val="32"/>
          <w:szCs w:val="32"/>
          <w:lang w:val="zh-CN"/>
        </w:rPr>
        <w:t>根据项目实际开展情况、项目资金支付情况及绩效目标完成情况，进行项目自评。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2"/>
        <w:rPr>
          <w:rFonts w:hint="default" w:ascii="仿宋_GB2312" w:hAnsi="宋体" w:eastAsia="宋体" w:cs="Times New Roman"/>
          <w:kern w:val="2"/>
          <w:sz w:val="32"/>
          <w:szCs w:val="32"/>
          <w:lang w:val="en-US" w:eastAsia="zh-CN" w:bidi="ar-SA"/>
        </w:rPr>
      </w:pPr>
      <w:r>
        <w:rPr>
          <w:rFonts w:hint="eastAsia" w:ascii="楷体_GB2312" w:hAnsi="宋体" w:eastAsia="楷体_GB2312"/>
          <w:b/>
          <w:sz w:val="32"/>
          <w:szCs w:val="32"/>
          <w:lang w:val="en-US" w:eastAsia="zh-CN"/>
        </w:rPr>
        <w:t xml:space="preserve">    </w:t>
      </w:r>
      <w:r>
        <w:rPr>
          <w:rFonts w:hint="eastAsia" w:ascii="仿宋_GB2312" w:hAnsi="宋体" w:eastAsia="仿宋_GB2312" w:cs="Times New Roman"/>
          <w:kern w:val="2"/>
          <w:sz w:val="32"/>
          <w:szCs w:val="32"/>
          <w:lang w:val="en-US" w:eastAsia="zh-CN" w:bidi="ar-SA"/>
        </w:rPr>
        <w:t>项目年初按程序申报资金10万元、预算批复10万元。符合预算法、资金管理办法等相关规定。项目申报内容与具体实施内容相符，申报目标合理可行。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en-US" w:eastAsia="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该项目资金年初预算计划</w:t>
      </w:r>
      <w:r>
        <w:rPr>
          <w:rFonts w:hint="eastAsia" w:ascii="仿宋_GB2312" w:hAnsi="宋体"/>
          <w:sz w:val="32"/>
          <w:szCs w:val="32"/>
          <w:lang w:val="en-US" w:eastAsia="zh-CN"/>
        </w:rPr>
        <w:t>10</w:t>
      </w:r>
      <w:r>
        <w:rPr>
          <w:rFonts w:hint="eastAsia" w:ascii="仿宋_GB2312" w:hAnsi="宋体" w:eastAsia="仿宋_GB2312"/>
          <w:sz w:val="32"/>
          <w:szCs w:val="32"/>
          <w:lang w:val="en-US" w:eastAsia="zh-CN"/>
        </w:rPr>
        <w:t>万元。</w:t>
      </w:r>
    </w:p>
    <w:p>
      <w:pPr>
        <w:adjustRightInd w:val="0"/>
        <w:snapToGrid w:val="0"/>
        <w:spacing w:line="600" w:lineRule="exact"/>
        <w:ind w:firstLine="720"/>
        <w:rPr>
          <w:rFonts w:ascii="仿宋_GB2312" w:hAnsi="宋体"/>
          <w:sz w:val="32"/>
          <w:szCs w:val="32"/>
          <w:lang w:val="zh-CN"/>
        </w:rPr>
      </w:pPr>
      <w:r>
        <w:rPr>
          <w:rFonts w:hint="eastAsia" w:ascii="楷体_GB2312" w:hAnsi="宋体" w:eastAsia="楷体_GB2312"/>
          <w:sz w:val="32"/>
          <w:szCs w:val="32"/>
          <w:lang w:val="en-US" w:eastAsia="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该项目年初下达</w:t>
      </w:r>
      <w:r>
        <w:rPr>
          <w:rFonts w:hint="eastAsia" w:ascii="仿宋_GB2312" w:hAnsi="宋体"/>
          <w:sz w:val="32"/>
          <w:szCs w:val="32"/>
          <w:lang w:val="en-US" w:eastAsia="zh-CN"/>
        </w:rPr>
        <w:t>10</w:t>
      </w:r>
      <w:r>
        <w:rPr>
          <w:rFonts w:hint="eastAsia" w:ascii="仿宋_GB2312" w:hAnsi="宋体" w:eastAsia="仿宋_GB2312"/>
          <w:sz w:val="32"/>
          <w:szCs w:val="32"/>
          <w:lang w:val="en-US" w:eastAsia="zh-CN"/>
        </w:rPr>
        <w:t>万元，资金到位100%，</w:t>
      </w:r>
      <w:r>
        <w:rPr>
          <w:rFonts w:hint="eastAsia" w:ascii="仿宋_GB2312" w:hAnsi="宋体" w:eastAsia="仿宋_GB2312"/>
          <w:sz w:val="32"/>
          <w:szCs w:val="32"/>
          <w:lang w:val="zh-CN"/>
        </w:rPr>
        <w:t>到位及时率100%，</w:t>
      </w:r>
      <w:r>
        <w:rPr>
          <w:rFonts w:hint="eastAsia" w:ascii="仿宋_GB2312" w:hAnsi="宋体" w:eastAsia="仿宋_GB2312"/>
          <w:sz w:val="32"/>
          <w:szCs w:val="32"/>
          <w:lang w:val="en-US" w:eastAsia="zh-CN"/>
        </w:rPr>
        <w:t xml:space="preserve">为市财政拨款资金。    </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年共计支付</w:t>
      </w:r>
      <w:r>
        <w:rPr>
          <w:rFonts w:hint="eastAsia" w:ascii="仿宋_GB2312" w:hAnsi="宋体"/>
          <w:sz w:val="32"/>
          <w:szCs w:val="32"/>
          <w:lang w:val="en-US" w:eastAsia="zh-CN"/>
        </w:rPr>
        <w:t>10</w:t>
      </w:r>
      <w:r>
        <w:rPr>
          <w:rFonts w:hint="eastAsia" w:ascii="仿宋_GB2312" w:hAnsi="宋体" w:eastAsia="仿宋_GB2312"/>
          <w:sz w:val="32"/>
          <w:szCs w:val="32"/>
          <w:lang w:val="en-US" w:eastAsia="zh-CN"/>
        </w:rPr>
        <w:t>万元，均用于支付</w:t>
      </w:r>
      <w:r>
        <w:rPr>
          <w:rFonts w:hint="eastAsia" w:ascii="仿宋_GB2312" w:hAnsi="仿宋_GB2312" w:eastAsia="仿宋_GB2312" w:cs="仿宋_GB2312"/>
          <w:sz w:val="32"/>
          <w:szCs w:val="32"/>
        </w:rPr>
        <w:t>行政检察（含公益诉讼）</w:t>
      </w:r>
      <w:r>
        <w:rPr>
          <w:rFonts w:hint="eastAsia" w:ascii="仿宋_GB2312" w:hAnsi="仿宋_GB2312" w:eastAsia="仿宋_GB2312" w:cs="仿宋_GB2312"/>
          <w:sz w:val="32"/>
          <w:szCs w:val="32"/>
          <w:lang w:eastAsia="zh-CN"/>
        </w:rPr>
        <w:t>相关办案经费。</w:t>
      </w:r>
      <w:r>
        <w:rPr>
          <w:rFonts w:hint="eastAsia" w:ascii="仿宋_GB2312" w:hAnsi="宋体" w:eastAsia="仿宋_GB2312" w:cs="Times New Roman"/>
          <w:sz w:val="32"/>
          <w:szCs w:val="32"/>
          <w:lang w:val="zh-CN" w:eastAsia="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numPr>
          <w:ilvl w:val="0"/>
          <w:numId w:val="0"/>
        </w:numPr>
        <w:adjustRightInd w:val="0"/>
        <w:snapToGrid w:val="0"/>
        <w:spacing w:line="600" w:lineRule="exact"/>
        <w:ind w:left="640" w:leftChars="0"/>
        <w:rPr>
          <w:rFonts w:hint="eastAsia"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项目实施及管理情况</w:t>
      </w:r>
    </w:p>
    <w:p>
      <w:pPr>
        <w:numPr>
          <w:ilvl w:val="0"/>
          <w:numId w:val="0"/>
        </w:numPr>
        <w:adjustRightInd w:val="0"/>
        <w:snapToGrid w:val="0"/>
        <w:spacing w:line="600" w:lineRule="exact"/>
        <w:ind w:left="640" w:leftChars="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项目由广安人民检察院管理，严格按照临行政检察（含公益诉讼）专项业务费项目预算绩效目标、工作计划等实施。该项目为行政检察及公益诉讼办案经费，主要用于支付相关案件办理所需各项开支。</w:t>
      </w:r>
    </w:p>
    <w:p>
      <w:pPr>
        <w:pStyle w:val="2"/>
        <w:keepNext w:val="0"/>
        <w:keepLines w:val="0"/>
        <w:pageBreakBefore w:val="0"/>
        <w:widowControl w:val="0"/>
        <w:numPr>
          <w:ilvl w:val="0"/>
          <w:numId w:val="0"/>
        </w:numPr>
        <w:kinsoku/>
        <w:wordWrap/>
        <w:overflowPunct/>
        <w:topLinePunct w:val="0"/>
        <w:autoSpaceDE/>
        <w:autoSpaceDN/>
        <w:bidi w:val="0"/>
        <w:adjustRightInd w:val="0"/>
        <w:snapToGrid/>
        <w:ind w:leftChars="0"/>
        <w:jc w:val="both"/>
        <w:textAlignment w:val="auto"/>
        <w:rPr>
          <w:rFonts w:hint="eastAsia" w:ascii="仿宋_GB2312" w:hAnsi="宋体" w:eastAsia="仿宋_GB2312" w:cs="Times New Roman"/>
          <w:kern w:val="2"/>
          <w:sz w:val="32"/>
          <w:szCs w:val="32"/>
          <w:lang w:val="zh-CN" w:eastAsia="zh-CN" w:bidi="ar-SA"/>
        </w:rPr>
      </w:pPr>
      <w:r>
        <w:rPr>
          <w:rFonts w:hint="eastAsia" w:ascii="楷体_GB2312" w:hAnsi="宋体" w:eastAsia="楷体_GB2312" w:cs="Times New Roman"/>
          <w:b/>
          <w:kern w:val="2"/>
          <w:sz w:val="32"/>
          <w:szCs w:val="32"/>
          <w:lang w:val="en-US" w:eastAsia="zh-CN" w:bidi="ar-SA"/>
        </w:rPr>
        <w:t xml:space="preserve">     （二）</w:t>
      </w:r>
      <w:r>
        <w:rPr>
          <w:rFonts w:hint="eastAsia" w:ascii="楷体_GB2312" w:hAnsi="宋体" w:eastAsia="楷体_GB2312" w:cs="Times New Roman"/>
          <w:b/>
          <w:kern w:val="2"/>
          <w:sz w:val="32"/>
          <w:szCs w:val="32"/>
          <w:lang w:val="zh-CN" w:eastAsia="zh-CN" w:bidi="ar-SA"/>
        </w:rPr>
        <w:t>项目管理情况。</w:t>
      </w:r>
      <w:r>
        <w:rPr>
          <w:rFonts w:hint="eastAsia" w:ascii="仿宋_GB2312" w:hAnsi="宋体" w:eastAsia="仿宋_GB2312" w:cs="Times New Roman"/>
          <w:kern w:val="2"/>
          <w:sz w:val="32"/>
          <w:szCs w:val="32"/>
          <w:lang w:val="zh-CN" w:eastAsia="zh-CN" w:bidi="ar-SA"/>
        </w:rPr>
        <w:t>在规定范围内开展工作，实施单位均能严格执行相关法律法规及项目管理制度。</w:t>
      </w:r>
    </w:p>
    <w:p>
      <w:pPr>
        <w:adjustRightInd w:val="0"/>
        <w:snapToGrid w:val="0"/>
        <w:spacing w:line="600" w:lineRule="exact"/>
        <w:ind w:firstLine="643" w:firstLineChars="200"/>
        <w:rPr>
          <w:rFonts w:hint="default" w:ascii="仿宋_GB2312" w:hAnsi="宋体" w:eastAsia="宋体"/>
          <w:sz w:val="32"/>
          <w:szCs w:val="32"/>
          <w:lang w:val="en-US" w:eastAsia="zh-CN"/>
        </w:rPr>
      </w:pPr>
      <w:r>
        <w:rPr>
          <w:rFonts w:hint="eastAsia" w:ascii="楷体_GB2312" w:hAnsi="宋体" w:eastAsia="楷体_GB2312"/>
          <w:b/>
          <w:sz w:val="32"/>
          <w:szCs w:val="32"/>
          <w:lang w:val="zh-CN"/>
        </w:rPr>
        <w:t>（三）项目监管情况。</w:t>
      </w:r>
      <w:r>
        <w:rPr>
          <w:rFonts w:hint="eastAsia" w:ascii="仿宋_GB2312" w:hAnsi="宋体" w:eastAsia="仿宋_GB2312" w:cs="Times New Roman"/>
          <w:kern w:val="2"/>
          <w:sz w:val="32"/>
          <w:szCs w:val="32"/>
          <w:lang w:val="zh-CN" w:eastAsia="zh-CN" w:bidi="ar-SA"/>
        </w:rPr>
        <w:t>市纪委驻派纪检组及市院检务督察部对项目进行情况进行监管。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黑体" w:hAnsi="宋体" w:eastAsia="黑体"/>
          <w:sz w:val="32"/>
          <w:szCs w:val="32"/>
          <w:lang w:eastAsia="zh-CN"/>
        </w:rPr>
        <w:t>四</w:t>
      </w:r>
      <w:r>
        <w:rPr>
          <w:rFonts w:hint="eastAsia" w:ascii="黑体" w:hAnsi="宋体" w:eastAsia="黑体"/>
          <w:sz w:val="32"/>
          <w:szCs w:val="32"/>
        </w:rPr>
        <w:t>、项目绩效情况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办理行政诉讼监督案件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件，参与办理检察公益诉讼案件（包括民事公益诉讼、行政公益诉讼）2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，质量指标到达</w:t>
      </w:r>
      <w:r>
        <w:rPr>
          <w:rFonts w:hint="eastAsia" w:ascii="仿宋_GB2312" w:hAnsi="仿宋_GB2312" w:eastAsia="仿宋_GB2312" w:cs="仿宋_GB2312"/>
          <w:sz w:val="32"/>
          <w:szCs w:val="32"/>
          <w:lang w:val="en-US" w:eastAsia="zh-CN"/>
        </w:rPr>
        <w:t>100%，满意度指标达到95%，</w:t>
      </w:r>
      <w:r>
        <w:rPr>
          <w:rFonts w:hint="eastAsia" w:ascii="仿宋_GB2312" w:hAnsi="宋体"/>
          <w:sz w:val="32"/>
          <w:szCs w:val="32"/>
          <w:lang w:val="zh-CN"/>
        </w:rPr>
        <w:t>基本</w:t>
      </w:r>
      <w:r>
        <w:rPr>
          <w:rFonts w:hint="eastAsia" w:ascii="仿宋_GB2312" w:hAnsi="宋体" w:eastAsia="仿宋_GB2312"/>
          <w:sz w:val="32"/>
          <w:szCs w:val="32"/>
          <w:lang w:val="zh-CN"/>
        </w:rPr>
        <w:t>完成了年初绩效目标，为</w:t>
      </w:r>
      <w:r>
        <w:rPr>
          <w:rFonts w:hint="eastAsia" w:ascii="仿宋_GB2312" w:hAnsi="仿宋_GB2312" w:eastAsia="仿宋_GB2312" w:cs="仿宋_GB2312"/>
          <w:sz w:val="32"/>
          <w:szCs w:val="32"/>
          <w:lang w:eastAsia="zh-CN"/>
        </w:rPr>
        <w:t>行政检察（含公益诉讼）工作的完成提供了保障。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r>
        <w:rPr>
          <w:rFonts w:hint="eastAsia" w:ascii="仿宋_GB2312" w:hAnsi="仿宋_GB2312" w:eastAsia="仿宋_GB2312" w:cs="仿宋_GB2312"/>
          <w:sz w:val="32"/>
          <w:szCs w:val="32"/>
          <w:lang w:eastAsia="zh-CN"/>
        </w:rPr>
        <w:t>督促修复被破坏、污染、违法占用的土地，督促关停和整治造成环境污染的企业或者经营商户，</w:t>
      </w:r>
      <w:r>
        <w:rPr>
          <w:rFonts w:hint="eastAsia" w:ascii="仿宋_GB2312" w:hAnsi="仿宋_GB2312" w:eastAsia="仿宋_GB2312" w:cs="仿宋_GB2312"/>
          <w:sz w:val="32"/>
          <w:szCs w:val="32"/>
        </w:rPr>
        <w:t>督促收回国有土地出让金、国有财产</w:t>
      </w:r>
      <w:r>
        <w:rPr>
          <w:rFonts w:hint="eastAsia" w:ascii="仿宋_GB2312" w:hAnsi="仿宋_GB2312" w:eastAsia="仿宋_GB2312" w:cs="仿宋_GB2312"/>
          <w:sz w:val="32"/>
          <w:szCs w:val="32"/>
          <w:lang w:eastAsia="zh-CN"/>
        </w:rPr>
        <w:t>，降低案件瑕疵率</w:t>
      </w:r>
      <w:r>
        <w:rPr>
          <w:rFonts w:hint="eastAsia" w:ascii="仿宋_GB2312" w:hAnsi="仿宋_GB2312" w:cs="仿宋_GB2312"/>
          <w:sz w:val="32"/>
          <w:szCs w:val="32"/>
          <w:lang w:eastAsia="zh-CN"/>
        </w:rPr>
        <w:t>，提升行政检察公益诉讼案件结案率。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rPr>
      </w:pPr>
      <w:r>
        <w:rPr>
          <w:rFonts w:hint="eastAsia" w:ascii="黑体" w:hAnsi="宋体" w:eastAsia="黑体"/>
          <w:sz w:val="32"/>
          <w:szCs w:val="32"/>
          <w:lang w:eastAsia="zh-CN"/>
        </w:rPr>
        <w:t>五</w:t>
      </w:r>
      <w:r>
        <w:rPr>
          <w:rFonts w:hint="eastAsia" w:ascii="黑体" w:hAnsi="宋体" w:eastAsia="黑体"/>
          <w:sz w:val="32"/>
          <w:szCs w:val="32"/>
        </w:rPr>
        <w:t>、</w:t>
      </w:r>
      <w:r>
        <w:rPr>
          <w:rFonts w:hint="eastAsia" w:ascii="黑体" w:hAnsi="宋体" w:eastAsia="黑体"/>
          <w:sz w:val="32"/>
          <w:szCs w:val="32"/>
          <w:lang w:eastAsia="zh-CN"/>
        </w:rPr>
        <w:t>评价结论</w:t>
      </w:r>
      <w:r>
        <w:rPr>
          <w:rFonts w:hint="eastAsia" w:ascii="黑体" w:hAnsi="宋体" w:eastAsia="黑体"/>
          <w:sz w:val="32"/>
          <w:szCs w:val="32"/>
        </w:rPr>
        <w:t>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b/>
          <w:sz w:val="32"/>
          <w:szCs w:val="32"/>
          <w:lang w:val="zh-CN"/>
        </w:rPr>
        <w:t>（一）评价结论。</w:t>
      </w:r>
      <w:r>
        <w:rPr>
          <w:rFonts w:hint="eastAsia" w:ascii="仿宋_GB2312" w:hAnsi="仿宋_GB2312" w:eastAsia="仿宋_GB2312" w:cs="仿宋_GB2312"/>
          <w:sz w:val="32"/>
          <w:szCs w:val="32"/>
          <w:lang w:val="zh-CN" w:eastAsia="zh-CN"/>
        </w:rPr>
        <w:t>项目完成情况较好。总体经费使用达到预期效果。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仿宋_GB2312" w:eastAsia="仿宋_GB2312" w:cs="仿宋_GB2312"/>
          <w:sz w:val="32"/>
          <w:szCs w:val="32"/>
          <w:lang w:val="zh-CN"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楷体_GB2312" w:hAnsi="宋体" w:eastAsia="楷体_GB2312"/>
          <w:b/>
          <w:sz w:val="32"/>
          <w:szCs w:val="32"/>
          <w:lang w:val="zh-CN"/>
        </w:rPr>
        <w:t>（三）相关建议。</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pStyle w:val="2"/>
      </w:pP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b/>
        </w:rPr>
      </w:pPr>
      <w:r>
        <w:rPr>
          <w:rFonts w:hint="eastAsia"/>
          <w:b/>
        </w:rPr>
        <w:t>扫黑除恶专项经费项目</w:t>
      </w: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b/>
        </w:rPr>
      </w:pPr>
      <w:r>
        <w:rPr>
          <w:rFonts w:hint="eastAsia"/>
          <w:b/>
          <w:lang w:val="en-US" w:eastAsia="zh-CN"/>
        </w:rPr>
        <w:t>2021年</w:t>
      </w:r>
      <w:r>
        <w:rPr>
          <w:rFonts w:hint="eastAsia"/>
          <w:b/>
        </w:rPr>
        <w:t>绩效</w:t>
      </w:r>
      <w:r>
        <w:rPr>
          <w:rFonts w:hint="eastAsia"/>
          <w:b/>
          <w:lang w:eastAsia="zh-CN"/>
        </w:rPr>
        <w:t>评价</w:t>
      </w:r>
      <w:r>
        <w:rPr>
          <w:rFonts w:hint="eastAsia"/>
          <w:b/>
        </w:rPr>
        <w:t>报告</w:t>
      </w:r>
    </w:p>
    <w:p>
      <w:pPr>
        <w:pStyle w:val="33"/>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（一）项目基本情况。</w:t>
      </w:r>
      <w:r>
        <w:rPr>
          <w:rFonts w:hint="eastAsia" w:ascii="仿宋_GB2312" w:hAnsi="宋体" w:eastAsia="仿宋_GB2312"/>
          <w:sz w:val="32"/>
          <w:szCs w:val="32"/>
          <w:lang w:val="zh-CN"/>
        </w:rPr>
        <w:t>广安市人民检察院负责牵头实施扫黑除恶专项经费项目、编制实施方案等，年初按程序申报资金30万元、预算批复30万元。项目立项、申报依据为市委会议纪要及《关于印发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val="zh-CN"/>
        </w:rPr>
        <w:t>广安市黑恶势力违法犯罪行为举报奖励办法</w:t>
      </w:r>
      <w:r>
        <w:rPr>
          <w:rFonts w:hint="eastAsia" w:ascii="仿宋_GB2312" w:hAnsi="宋体" w:eastAsia="仿宋_GB2312"/>
          <w:sz w:val="32"/>
          <w:szCs w:val="32"/>
          <w:lang w:val="en-US" w:eastAsia="zh-CN"/>
        </w:rPr>
        <w:t>&gt;</w:t>
      </w:r>
      <w:r>
        <w:rPr>
          <w:rFonts w:hint="eastAsia" w:ascii="仿宋_GB2312" w:hAnsi="宋体" w:eastAsia="仿宋_GB2312"/>
          <w:sz w:val="32"/>
          <w:szCs w:val="32"/>
          <w:lang w:val="zh-CN"/>
        </w:rPr>
        <w:t>的通知》《广安市扫黑除恶专项斗争领导小组办公室工作细则》。符合预算法、资金管理办法等相关规定，项目申报内容与具体实施内容相符，申报目标合理可行。科学合理安排资金预算支出，全年相关费用控制在30万元以内，着力保障扫黑除恶办公经费开支，确保工作进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提高政治站位，加强组织领导，建立健全各项机制建设；强化宣传发动，形成打击合力；突出依法办案，坚持打准打狠，深入推进扫黑除恶专项斗争。办理及指导基层院办理扫黑除恶案</w:t>
      </w:r>
      <w:r>
        <w:rPr>
          <w:rFonts w:hint="eastAsia" w:ascii="仿宋_GB2312" w:hAnsi="宋体" w:eastAsia="仿宋_GB2312" w:cs="Times New Roman"/>
          <w:sz w:val="32"/>
          <w:szCs w:val="32"/>
          <w:lang w:val="zh-CN"/>
        </w:rPr>
        <w:t>件数≥10件；提前介入引导侦查次数≥20次；发现移交线索≥10条；审理提请批准逮捕、移送审查起诉的涉黑恶犯罪案件审结率≥80%；群众对检察院扫黑除恶工作满意度≥80%等。项目进度按时间进度有序推进。项目申报内容与具体实施内容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r>
        <w:rPr>
          <w:rFonts w:hint="eastAsia" w:ascii="仿宋_GB2312" w:hAnsi="宋体" w:eastAsia="仿宋_GB2312" w:cs="Times New Roman"/>
          <w:sz w:val="32"/>
          <w:szCs w:val="32"/>
          <w:lang w:val="zh-CN"/>
        </w:rPr>
        <w:t>根据项目实际开展情况、项目资金支付情况及绩效目标完成情况，进行项目自评。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sz w:val="32"/>
          <w:szCs w:val="32"/>
          <w:lang w:val="zh-CN"/>
        </w:rPr>
      </w:pPr>
      <w:r>
        <w:rPr>
          <w:rFonts w:hint="eastAsia" w:ascii="仿宋_GB2312" w:hAnsi="宋体" w:eastAsia="仿宋_GB2312"/>
          <w:sz w:val="32"/>
          <w:szCs w:val="32"/>
          <w:lang w:val="zh-CN"/>
        </w:rPr>
        <w:t>扫黑除恶专项经费项目年初按程序申报资金30万元、预算批复30万元。符合预算法、资金管理办法等相关规定。项目申报内容与具体实施内容相符，申报目标合理可行。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该项目资金年初预算计划</w:t>
      </w:r>
      <w:r>
        <w:rPr>
          <w:rFonts w:hint="eastAsia" w:ascii="仿宋_GB2312" w:hAnsi="宋体"/>
          <w:sz w:val="32"/>
          <w:szCs w:val="32"/>
          <w:lang w:val="en-US" w:eastAsia="zh-CN"/>
        </w:rPr>
        <w:t>30</w:t>
      </w:r>
      <w:r>
        <w:rPr>
          <w:rFonts w:hint="eastAsia" w:ascii="仿宋_GB2312" w:hAnsi="宋体" w:eastAsia="仿宋_GB2312"/>
          <w:sz w:val="32"/>
          <w:szCs w:val="32"/>
          <w:lang w:val="en-US" w:eastAsia="zh-CN"/>
        </w:rPr>
        <w:t xml:space="preserve">万元。 </w:t>
      </w:r>
    </w:p>
    <w:p>
      <w:pPr>
        <w:adjustRightInd w:val="0"/>
        <w:snapToGrid w:val="0"/>
        <w:spacing w:line="600" w:lineRule="exact"/>
        <w:ind w:firstLine="720"/>
        <w:rPr>
          <w:rFonts w:hint="default" w:ascii="楷体_GB2312" w:hAnsi="宋体" w:eastAsia="楷体_GB2312"/>
          <w:sz w:val="32"/>
          <w:szCs w:val="32"/>
          <w:lang w:val="en-US" w:eastAsia="zh-CN"/>
        </w:rPr>
      </w:pPr>
      <w:r>
        <w:rPr>
          <w:rFonts w:hint="eastAsia" w:ascii="楷体_GB2312" w:hAnsi="宋体" w:eastAsia="楷体_GB2312"/>
          <w:sz w:val="32"/>
          <w:szCs w:val="32"/>
          <w:lang w:val="en-US" w:eastAsia="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该项目年初下达</w:t>
      </w:r>
      <w:r>
        <w:rPr>
          <w:rFonts w:hint="eastAsia" w:ascii="仿宋_GB2312" w:hAnsi="宋体"/>
          <w:sz w:val="32"/>
          <w:szCs w:val="32"/>
          <w:lang w:val="en-US" w:eastAsia="zh-CN"/>
        </w:rPr>
        <w:t>30</w:t>
      </w:r>
      <w:r>
        <w:rPr>
          <w:rFonts w:hint="eastAsia" w:ascii="仿宋_GB2312" w:hAnsi="宋体" w:eastAsia="仿宋_GB2312"/>
          <w:sz w:val="32"/>
          <w:szCs w:val="32"/>
          <w:lang w:val="en-US" w:eastAsia="zh-CN"/>
        </w:rPr>
        <w:t>万元，资金到位100%，</w:t>
      </w:r>
      <w:r>
        <w:rPr>
          <w:rFonts w:hint="eastAsia" w:ascii="仿宋_GB2312" w:hAnsi="宋体" w:eastAsia="仿宋_GB2312"/>
          <w:sz w:val="32"/>
          <w:szCs w:val="32"/>
          <w:lang w:val="zh-CN"/>
        </w:rPr>
        <w:t>到位及时率100%，</w:t>
      </w:r>
      <w:r>
        <w:rPr>
          <w:rFonts w:hint="eastAsia" w:ascii="仿宋_GB2312" w:hAnsi="宋体" w:eastAsia="仿宋_GB2312"/>
          <w:sz w:val="32"/>
          <w:szCs w:val="32"/>
          <w:lang w:val="en-US" w:eastAsia="zh-CN"/>
        </w:rPr>
        <w:t>为市财政拨款资金。</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年共计支付</w:t>
      </w:r>
      <w:r>
        <w:rPr>
          <w:rFonts w:hint="eastAsia" w:ascii="仿宋_GB2312" w:hAnsi="宋体"/>
          <w:sz w:val="32"/>
          <w:szCs w:val="32"/>
          <w:lang w:val="en-US" w:eastAsia="zh-CN"/>
        </w:rPr>
        <w:t>30</w:t>
      </w:r>
      <w:r>
        <w:rPr>
          <w:rFonts w:hint="eastAsia" w:ascii="仿宋_GB2312" w:hAnsi="宋体" w:eastAsia="仿宋_GB2312"/>
          <w:sz w:val="32"/>
          <w:szCs w:val="32"/>
          <w:lang w:val="en-US" w:eastAsia="zh-CN"/>
        </w:rPr>
        <w:t>万元，均用于支付</w:t>
      </w:r>
      <w:r>
        <w:rPr>
          <w:rFonts w:hint="eastAsia" w:ascii="仿宋_GB2312" w:hAnsi="仿宋_GB2312" w:eastAsia="仿宋_GB2312" w:cs="仿宋_GB2312"/>
          <w:sz w:val="32"/>
          <w:szCs w:val="32"/>
          <w:lang w:eastAsia="zh-CN"/>
        </w:rPr>
        <w:t>扫黑除</w:t>
      </w:r>
      <w:r>
        <w:rPr>
          <w:rFonts w:hint="eastAsia" w:ascii="仿宋_GB2312" w:hAnsi="宋体" w:eastAsia="仿宋_GB2312" w:cs="Times New Roman"/>
          <w:sz w:val="32"/>
          <w:szCs w:val="32"/>
          <w:lang w:val="en-US" w:eastAsia="zh-CN"/>
        </w:rPr>
        <w:t>恶相关工作经费。</w:t>
      </w:r>
      <w:r>
        <w:rPr>
          <w:rFonts w:hint="eastAsia" w:ascii="仿宋_GB2312" w:hAnsi="宋体" w:eastAsia="仿宋_GB2312" w:cs="Times New Roman"/>
          <w:sz w:val="32"/>
          <w:szCs w:val="32"/>
          <w:lang w:val="zh-CN" w:eastAsia="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项目由广安人民检察院管理，严格按照</w:t>
      </w:r>
      <w:r>
        <w:rPr>
          <w:rFonts w:hint="eastAsia" w:ascii="仿宋_GB2312" w:hAnsi="宋体" w:eastAsia="仿宋_GB2312"/>
          <w:sz w:val="32"/>
          <w:szCs w:val="32"/>
          <w:lang w:val="zh-CN"/>
        </w:rPr>
        <w:t>扫黑除恶专项经费项目</w:t>
      </w:r>
      <w:r>
        <w:rPr>
          <w:rFonts w:hint="eastAsia" w:ascii="仿宋_GB2312" w:hAnsi="宋体" w:eastAsia="仿宋_GB2312" w:cs="Times New Roman"/>
          <w:sz w:val="32"/>
          <w:szCs w:val="32"/>
          <w:lang w:val="zh-CN"/>
        </w:rPr>
        <w:t>预算绩效目标、工作计划等实施。该项目为行政检察及公益诉讼办案经费，主要用于支付相关案件办理所需各项开支。</w:t>
      </w:r>
    </w:p>
    <w:p>
      <w:pPr>
        <w:pStyle w:val="2"/>
        <w:keepNext w:val="0"/>
        <w:keepLines w:val="0"/>
        <w:pageBreakBefore w:val="0"/>
        <w:widowControl w:val="0"/>
        <w:numPr>
          <w:ilvl w:val="0"/>
          <w:numId w:val="0"/>
        </w:numPr>
        <w:kinsoku/>
        <w:wordWrap/>
        <w:overflowPunct/>
        <w:topLinePunct w:val="0"/>
        <w:autoSpaceDE/>
        <w:autoSpaceDN/>
        <w:bidi w:val="0"/>
        <w:adjustRightInd w:val="0"/>
        <w:snapToGrid/>
        <w:ind w:leftChars="0"/>
        <w:jc w:val="both"/>
        <w:textAlignment w:val="auto"/>
        <w:rPr>
          <w:rFonts w:hint="eastAsia" w:ascii="仿宋_GB2312" w:hAnsi="宋体" w:eastAsia="仿宋_GB2312" w:cs="Times New Roman"/>
          <w:kern w:val="2"/>
          <w:sz w:val="32"/>
          <w:szCs w:val="32"/>
          <w:lang w:val="zh-CN" w:eastAsia="zh-CN" w:bidi="ar-SA"/>
        </w:rPr>
      </w:pPr>
      <w:r>
        <w:rPr>
          <w:rFonts w:hint="eastAsia" w:ascii="楷体_GB2312" w:hAnsi="宋体" w:eastAsia="楷体_GB2312" w:cs="Times New Roman"/>
          <w:b/>
          <w:kern w:val="2"/>
          <w:sz w:val="32"/>
          <w:szCs w:val="32"/>
          <w:lang w:val="en-US" w:eastAsia="zh-CN" w:bidi="ar-SA"/>
        </w:rPr>
        <w:t xml:space="preserve">    （二）</w:t>
      </w:r>
      <w:r>
        <w:rPr>
          <w:rFonts w:hint="eastAsia" w:ascii="楷体_GB2312" w:hAnsi="宋体" w:eastAsia="楷体_GB2312" w:cs="Times New Roman"/>
          <w:b/>
          <w:kern w:val="2"/>
          <w:sz w:val="32"/>
          <w:szCs w:val="32"/>
          <w:lang w:val="zh-CN" w:eastAsia="zh-CN" w:bidi="ar-SA"/>
        </w:rPr>
        <w:t>项目管理情况。</w:t>
      </w:r>
      <w:r>
        <w:rPr>
          <w:rFonts w:hint="eastAsia" w:ascii="仿宋_GB2312" w:hAnsi="宋体" w:eastAsia="仿宋_GB2312" w:cs="Times New Roman"/>
          <w:kern w:val="2"/>
          <w:sz w:val="32"/>
          <w:szCs w:val="32"/>
          <w:lang w:val="zh-CN" w:eastAsia="zh-CN" w:bidi="ar-SA"/>
        </w:rPr>
        <w:t>在规定范围内开展工作，实施单位均能严格执行相关法律法规及项目管理制度。</w:t>
      </w:r>
    </w:p>
    <w:p>
      <w:pPr>
        <w:adjustRightInd w:val="0"/>
        <w:snapToGrid w:val="0"/>
        <w:spacing w:line="600" w:lineRule="exact"/>
        <w:ind w:firstLine="643" w:firstLineChars="200"/>
        <w:rPr>
          <w:rFonts w:hint="default" w:ascii="仿宋_GB2312" w:hAnsi="宋体" w:eastAsia="宋体"/>
          <w:sz w:val="32"/>
          <w:szCs w:val="32"/>
          <w:lang w:val="en-US" w:eastAsia="zh-CN"/>
        </w:rPr>
      </w:pPr>
      <w:r>
        <w:rPr>
          <w:rFonts w:hint="eastAsia" w:ascii="楷体_GB2312" w:hAnsi="宋体" w:eastAsia="楷体_GB2312"/>
          <w:b/>
          <w:sz w:val="32"/>
          <w:szCs w:val="32"/>
          <w:lang w:val="zh-CN"/>
        </w:rPr>
        <w:t>（三）项目监管情况。</w:t>
      </w:r>
      <w:r>
        <w:rPr>
          <w:rFonts w:hint="eastAsia" w:ascii="仿宋_GB2312" w:hAnsi="宋体" w:eastAsia="仿宋_GB2312" w:cs="Times New Roman"/>
          <w:kern w:val="2"/>
          <w:sz w:val="32"/>
          <w:szCs w:val="32"/>
          <w:lang w:val="zh-CN" w:eastAsia="zh-CN" w:bidi="ar-SA"/>
        </w:rPr>
        <w:t>市纪委驻派纪检组及市院检务督察部对项目进行情况进行监管。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黑体" w:hAnsi="宋体" w:eastAsia="黑体"/>
          <w:sz w:val="32"/>
          <w:szCs w:val="32"/>
          <w:lang w:eastAsia="zh-CN"/>
        </w:rPr>
        <w:t>四</w:t>
      </w:r>
      <w:r>
        <w:rPr>
          <w:rFonts w:hint="eastAsia" w:ascii="黑体" w:hAnsi="宋体" w:eastAsia="黑体"/>
          <w:sz w:val="32"/>
          <w:szCs w:val="32"/>
        </w:rPr>
        <w:t>、项目绩效情况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办理及指导基层院办理扫黑除恶案件数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件；提前介入引导侦查次数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次；发现移交线索</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条，质量指标达到</w:t>
      </w:r>
      <w:r>
        <w:rPr>
          <w:rFonts w:hint="eastAsia" w:ascii="仿宋_GB2312" w:hAnsi="仿宋_GB2312" w:eastAsia="仿宋_GB2312" w:cs="仿宋_GB2312"/>
          <w:sz w:val="32"/>
          <w:szCs w:val="32"/>
          <w:lang w:val="en-US" w:eastAsia="zh-CN"/>
        </w:rPr>
        <w:t>100%。</w:t>
      </w:r>
      <w:r>
        <w:rPr>
          <w:rFonts w:hint="eastAsia" w:ascii="仿宋_GB2312" w:hAnsi="宋体" w:eastAsia="仿宋_GB2312"/>
          <w:sz w:val="32"/>
          <w:szCs w:val="32"/>
          <w:lang w:val="zh-CN"/>
        </w:rPr>
        <w:t>完成了年初绩效目标，为</w:t>
      </w:r>
      <w:r>
        <w:rPr>
          <w:rFonts w:hint="eastAsia" w:ascii="仿宋_GB2312" w:hAnsi="仿宋_GB2312" w:eastAsia="仿宋_GB2312" w:cs="仿宋_GB2312"/>
          <w:sz w:val="32"/>
          <w:szCs w:val="32"/>
          <w:lang w:eastAsia="zh-CN"/>
        </w:rPr>
        <w:t>扫黑除恶工作的完成提供了保障。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r>
        <w:rPr>
          <w:rFonts w:hint="eastAsia" w:ascii="仿宋_GB2312" w:hAnsi="仿宋_GB2312" w:eastAsia="仿宋_GB2312" w:cs="仿宋_GB2312"/>
          <w:sz w:val="32"/>
          <w:szCs w:val="32"/>
          <w:lang w:eastAsia="zh-CN"/>
        </w:rPr>
        <w:t>扫黑除恶，保障社会安宁，提高涉黑恶犯罪案件审结率使人民群众安全感、满意度明显提升。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r>
        <w:rPr>
          <w:rFonts w:hint="eastAsia" w:ascii="仿宋_GB2312" w:hAnsi="仿宋_GB2312" w:eastAsia="仿宋_GB2312" w:cs="仿宋_GB2312"/>
          <w:sz w:val="32"/>
          <w:szCs w:val="32"/>
          <w:lang w:val="zh-CN" w:eastAsia="zh-CN"/>
        </w:rPr>
        <w:t>项目完成情况较好。总体经费使用达到预期效果。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仿宋_GB2312" w:eastAsia="仿宋_GB2312" w:cs="仿宋_GB2312"/>
          <w:sz w:val="32"/>
          <w:szCs w:val="32"/>
          <w:lang w:val="zh-CN"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楷体_GB2312" w:hAnsi="宋体" w:eastAsia="楷体_GB2312"/>
          <w:b/>
          <w:sz w:val="32"/>
          <w:szCs w:val="32"/>
          <w:lang w:val="zh-CN"/>
        </w:rPr>
        <w:t>（三）相关建议。</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pStyle w:val="3"/>
        <w:pageBreakBefore w:val="0"/>
        <w:widowControl w:val="0"/>
        <w:kinsoku/>
        <w:wordWrap/>
        <w:overflowPunct/>
        <w:topLinePunct w:val="0"/>
        <w:autoSpaceDE/>
        <w:autoSpaceDN/>
        <w:bidi w:val="0"/>
        <w:adjustRightInd/>
        <w:snapToGrid/>
        <w:spacing w:line="440" w:lineRule="exact"/>
        <w:jc w:val="center"/>
        <w:textAlignment w:val="auto"/>
        <w:rPr>
          <w:rFonts w:hint="eastAsia"/>
          <w:b/>
        </w:rPr>
      </w:pPr>
      <w:r>
        <w:rPr>
          <w:rFonts w:hint="eastAsia"/>
          <w:b/>
        </w:rPr>
        <w:t>民警加班及员额检察官法官绩效考核奖金总量项目</w:t>
      </w:r>
      <w:r>
        <w:rPr>
          <w:rFonts w:hint="eastAsia"/>
          <w:b/>
          <w:lang w:val="en-US" w:eastAsia="zh-CN"/>
        </w:rPr>
        <w:t>2021年</w:t>
      </w:r>
      <w:r>
        <w:rPr>
          <w:rFonts w:hint="eastAsia"/>
          <w:b/>
        </w:rPr>
        <w:t>绩效</w:t>
      </w:r>
      <w:r>
        <w:rPr>
          <w:rFonts w:hint="eastAsia"/>
          <w:b/>
          <w:lang w:eastAsia="zh-CN"/>
        </w:rPr>
        <w:t>评价</w:t>
      </w:r>
      <w:r>
        <w:rPr>
          <w:rFonts w:hint="eastAsia"/>
          <w:b/>
        </w:rPr>
        <w:t>报告</w:t>
      </w:r>
    </w:p>
    <w:p>
      <w:pPr>
        <w:pStyle w:val="33"/>
        <w:keepNext w:val="0"/>
        <w:keepLines w:val="0"/>
        <w:pageBreakBefore w:val="0"/>
        <w:kinsoku/>
        <w:wordWrap/>
        <w:overflowPunct/>
        <w:topLinePunct w:val="0"/>
        <w:autoSpaceDE/>
        <w:autoSpaceDN/>
        <w:bidi w:val="0"/>
        <w:spacing w:line="60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广安市人民检察院负责牵头实施</w:t>
      </w:r>
      <w:r>
        <w:rPr>
          <w:rFonts w:hint="eastAsia" w:ascii="仿宋_GB2312" w:hAnsi="仿宋_GB2312" w:eastAsia="仿宋_GB2312" w:cs="仿宋_GB2312"/>
          <w:sz w:val="32"/>
          <w:szCs w:val="32"/>
        </w:rPr>
        <w:t>民警加班及员额检察官法官绩效考核奖金总量项目</w:t>
      </w:r>
      <w:r>
        <w:rPr>
          <w:rFonts w:hint="eastAsia" w:ascii="仿宋_GB2312" w:hAnsi="宋体" w:eastAsia="仿宋_GB2312"/>
          <w:sz w:val="32"/>
          <w:szCs w:val="32"/>
          <w:lang w:val="zh-CN"/>
        </w:rPr>
        <w:t>、编制实施方案等，年初按程序申报资金</w:t>
      </w:r>
      <w:r>
        <w:rPr>
          <w:rFonts w:hint="eastAsia" w:ascii="仿宋_GB2312" w:hAnsi="宋体" w:eastAsia="仿宋_GB2312"/>
          <w:sz w:val="32"/>
          <w:szCs w:val="32"/>
          <w:lang w:val="en-US" w:eastAsia="zh-CN"/>
        </w:rPr>
        <w:t>188</w:t>
      </w:r>
      <w:r>
        <w:rPr>
          <w:rFonts w:hint="eastAsia" w:ascii="仿宋_GB2312" w:hAnsi="宋体" w:eastAsia="仿宋_GB2312"/>
          <w:sz w:val="32"/>
          <w:szCs w:val="32"/>
          <w:lang w:val="zh-CN"/>
        </w:rPr>
        <w:t>万元、预算批复</w:t>
      </w:r>
      <w:r>
        <w:rPr>
          <w:rFonts w:hint="eastAsia" w:ascii="仿宋_GB2312" w:hAnsi="宋体" w:eastAsia="仿宋_GB2312"/>
          <w:sz w:val="32"/>
          <w:szCs w:val="32"/>
          <w:lang w:val="en-US" w:eastAsia="zh-CN"/>
        </w:rPr>
        <w:t>188</w:t>
      </w:r>
      <w:r>
        <w:rPr>
          <w:rFonts w:hint="eastAsia" w:ascii="仿宋_GB2312" w:hAnsi="宋体" w:eastAsia="仿宋_GB2312"/>
          <w:sz w:val="32"/>
          <w:szCs w:val="32"/>
          <w:lang w:val="zh-CN"/>
        </w:rPr>
        <w:t>万元。申报依据为人力资源社会保障部、财政部《关于执行人民警察法定工作日之外，加班补贴有关问题的通知》（人社部规[2017]9号）、人力资源社会保障部、财政部《关于人民警察值勤岗位津贴有关问题的通知》（人社部规[2017]10号）、中共四川省委组织</w:t>
      </w:r>
      <w:r>
        <w:rPr>
          <w:rFonts w:hint="eastAsia" w:ascii="仿宋_GB2312" w:hAnsi="仿宋_GB2312" w:eastAsia="仿宋_GB2312" w:cs="仿宋_GB2312"/>
          <w:sz w:val="32"/>
          <w:szCs w:val="32"/>
          <w:lang w:val="zh-CN"/>
        </w:rPr>
        <w:t>部、四川省高级人民法院、四川省人民检察院、四川省财政厅《关于做好全省法院、检察院绩效考核奖金管理工作的通知》（川组通[2019]33号）及司法体制改革要求，符合预算法、资金管理办法等相关规定，项目申报内容与具体实施内容相符，申报目标合理可行。科学合理安排资金预算支出，全年相关费用控制在</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lang w:val="zh-CN"/>
        </w:rPr>
        <w:t>万元以内，着力保障</w:t>
      </w:r>
      <w:r>
        <w:rPr>
          <w:rFonts w:hint="eastAsia" w:ascii="仿宋_GB2312" w:hAnsi="仿宋_GB2312" w:eastAsia="仿宋_GB2312" w:cs="仿宋_GB2312"/>
          <w:sz w:val="32"/>
          <w:szCs w:val="32"/>
        </w:rPr>
        <w:t>民警加班及员额检察官绩效考核奖金</w:t>
      </w:r>
      <w:r>
        <w:rPr>
          <w:rFonts w:hint="eastAsia" w:ascii="仿宋_GB2312" w:hAnsi="仿宋_GB2312" w:eastAsia="仿宋_GB2312" w:cs="仿宋_GB2312"/>
          <w:sz w:val="32"/>
          <w:szCs w:val="32"/>
          <w:lang w:val="zh-CN"/>
        </w:rPr>
        <w:t>开支，确保工作进展。</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项目绩效目标为</w:t>
      </w:r>
      <w:r>
        <w:rPr>
          <w:rFonts w:hint="eastAsia" w:ascii="仿宋_GB2312" w:hAnsi="仿宋_GB2312" w:eastAsia="仿宋_GB2312" w:cs="仿宋_GB2312"/>
          <w:sz w:val="32"/>
          <w:szCs w:val="32"/>
        </w:rPr>
        <w:t>发放司法警察加班津贴及执勤津贴、司改绩效</w:t>
      </w:r>
      <w:r>
        <w:rPr>
          <w:rFonts w:hint="eastAsia" w:ascii="仿宋_GB2312" w:hAnsi="仿宋_GB2312" w:eastAsia="仿宋_GB2312" w:cs="仿宋_GB2312"/>
          <w:sz w:val="32"/>
          <w:szCs w:val="32"/>
          <w:lang w:eastAsia="zh-CN"/>
        </w:rPr>
        <w:t>。</w:t>
      </w:r>
      <w:r>
        <w:rPr>
          <w:rFonts w:hint="eastAsia" w:ascii="仿宋_GB2312" w:hAnsi="宋体" w:eastAsia="仿宋_GB2312" w:cs="Times New Roman"/>
          <w:sz w:val="32"/>
          <w:szCs w:val="32"/>
          <w:lang w:val="zh-CN"/>
        </w:rPr>
        <w:t>计划实现的具体绩效目标为：平稳改革促进人员待遇保障率≥90%、有利推进司法体制改革进度≥</w:t>
      </w:r>
      <w:r>
        <w:rPr>
          <w:rFonts w:hint="eastAsia" w:ascii="仿宋_GB2312" w:hAnsi="宋体" w:eastAsia="仿宋_GB2312" w:cs="Times New Roman"/>
          <w:sz w:val="32"/>
          <w:szCs w:val="32"/>
          <w:lang w:val="en-US" w:eastAsia="zh-CN"/>
        </w:rPr>
        <w:t>80</w:t>
      </w:r>
      <w:r>
        <w:rPr>
          <w:rFonts w:hint="eastAsia" w:ascii="仿宋_GB2312" w:hAnsi="宋体" w:eastAsia="仿宋_GB2312" w:cs="Times New Roman"/>
          <w:sz w:val="32"/>
          <w:szCs w:val="32"/>
          <w:lang w:val="zh-CN"/>
        </w:rPr>
        <w:t>%、干警对相关津贴及绩效发放工作的满意度≥90%、</w:t>
      </w:r>
      <w:r>
        <w:rPr>
          <w:rFonts w:hint="eastAsia" w:ascii="仿宋_GB2312" w:hAnsi="宋体" w:eastAsia="仿宋_GB2312" w:cs="Times New Roman"/>
          <w:sz w:val="32"/>
          <w:szCs w:val="32"/>
          <w:lang w:val="zh-CN" w:eastAsia="zh-CN"/>
        </w:rPr>
        <w:t>根据人员变动等实际情况发放</w:t>
      </w:r>
      <w:r>
        <w:rPr>
          <w:rFonts w:hint="eastAsia" w:ascii="仿宋_GB2312" w:hAnsi="宋体" w:eastAsia="仿宋_GB2312" w:cs="Times New Roman"/>
          <w:sz w:val="32"/>
          <w:szCs w:val="32"/>
          <w:lang w:val="zh-CN"/>
        </w:rPr>
        <w:t>、</w:t>
      </w:r>
      <w:r>
        <w:rPr>
          <w:rFonts w:hint="eastAsia" w:ascii="仿宋_GB2312" w:hAnsi="宋体" w:eastAsia="仿宋_GB2312" w:cs="Times New Roman"/>
          <w:sz w:val="32"/>
          <w:szCs w:val="32"/>
          <w:lang w:val="en-US" w:eastAsia="zh-CN"/>
        </w:rPr>
        <w:t>2021年12月31日前</w:t>
      </w:r>
      <w:r>
        <w:rPr>
          <w:rFonts w:hint="eastAsia" w:ascii="仿宋_GB2312" w:hAnsi="宋体" w:eastAsia="仿宋_GB2312" w:cs="Times New Roman"/>
          <w:sz w:val="32"/>
          <w:szCs w:val="32"/>
          <w:lang w:val="zh-CN"/>
        </w:rPr>
        <w:t>完成等。项目进度按上级文件要求有序推进。</w:t>
      </w:r>
      <w:r>
        <w:rPr>
          <w:rFonts w:hint="eastAsia" w:ascii="仿宋_GB2312" w:hAnsi="宋体" w:eastAsia="仿宋_GB2312" w:cs="Times New Roman"/>
          <w:sz w:val="32"/>
          <w:szCs w:val="32"/>
          <w:lang w:val="zh-CN" w:eastAsia="zh-CN"/>
        </w:rPr>
        <w:t>项目申报内容与具体实施内容相符、申报目标合理可行。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仿宋_GB2312" w:hAnsi="宋体" w:eastAsia="仿宋_GB2312" w:cs="Times New Roman"/>
          <w:sz w:val="32"/>
          <w:szCs w:val="32"/>
          <w:lang w:val="zh-CN"/>
        </w:rPr>
        <w:t>根据项目实际开展情况、项目资金支付情况及绩效目标完成情况，进行项目自评。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黑体" w:hAnsi="宋体" w:eastAsia="黑体"/>
          <w:sz w:val="32"/>
          <w:szCs w:val="32"/>
        </w:rPr>
      </w:pPr>
      <w:r>
        <w:rPr>
          <w:rFonts w:hint="eastAsia" w:ascii="仿宋_GB2312" w:hAnsi="仿宋_GB2312" w:eastAsia="仿宋_GB2312" w:cs="仿宋_GB2312"/>
          <w:sz w:val="32"/>
          <w:szCs w:val="32"/>
        </w:rPr>
        <w:t>民警加班及员额检察官法官绩效考核奖金总量项目</w:t>
      </w:r>
      <w:r>
        <w:rPr>
          <w:rFonts w:hint="eastAsia" w:ascii="仿宋_GB2312" w:hAnsi="宋体" w:eastAsia="仿宋_GB2312"/>
          <w:sz w:val="32"/>
          <w:szCs w:val="32"/>
          <w:lang w:val="zh-CN"/>
        </w:rPr>
        <w:t>年初按程序申报资金</w:t>
      </w:r>
      <w:r>
        <w:rPr>
          <w:rFonts w:hint="eastAsia" w:ascii="仿宋_GB2312" w:hAnsi="宋体" w:eastAsia="仿宋_GB2312"/>
          <w:sz w:val="32"/>
          <w:szCs w:val="32"/>
          <w:lang w:val="en-US" w:eastAsia="zh-CN"/>
        </w:rPr>
        <w:t>188</w:t>
      </w:r>
      <w:r>
        <w:rPr>
          <w:rFonts w:hint="eastAsia" w:ascii="仿宋_GB2312" w:hAnsi="宋体" w:eastAsia="仿宋_GB2312"/>
          <w:sz w:val="32"/>
          <w:szCs w:val="32"/>
          <w:lang w:val="zh-CN"/>
        </w:rPr>
        <w:t>万元、预算批复</w:t>
      </w:r>
      <w:r>
        <w:rPr>
          <w:rFonts w:hint="eastAsia" w:ascii="仿宋_GB2312" w:hAnsi="宋体" w:eastAsia="仿宋_GB2312"/>
          <w:sz w:val="32"/>
          <w:szCs w:val="32"/>
          <w:lang w:val="en-US" w:eastAsia="zh-CN"/>
        </w:rPr>
        <w:t>188</w:t>
      </w:r>
      <w:r>
        <w:rPr>
          <w:rFonts w:hint="eastAsia" w:ascii="仿宋_GB2312" w:hAnsi="宋体" w:eastAsia="仿宋_GB2312"/>
          <w:sz w:val="32"/>
          <w:szCs w:val="32"/>
          <w:lang w:val="zh-CN"/>
        </w:rPr>
        <w:t>万元。符合预算法、资金管理办法等相关规定。项目申报内容与具体实施内容相符，申报目标合理可行。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该项目资金年初预算计划</w:t>
      </w:r>
      <w:r>
        <w:rPr>
          <w:rFonts w:hint="eastAsia" w:ascii="仿宋_GB2312" w:hAnsi="宋体"/>
          <w:sz w:val="32"/>
          <w:szCs w:val="32"/>
          <w:lang w:val="en-US" w:eastAsia="zh-CN"/>
        </w:rPr>
        <w:t>188</w:t>
      </w:r>
      <w:r>
        <w:rPr>
          <w:rFonts w:hint="eastAsia" w:ascii="仿宋_GB2312" w:hAnsi="宋体" w:eastAsia="仿宋_GB2312"/>
          <w:sz w:val="32"/>
          <w:szCs w:val="32"/>
          <w:lang w:val="en-US" w:eastAsia="zh-CN"/>
        </w:rPr>
        <w:t xml:space="preserve">万元。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该项目年初下达</w:t>
      </w:r>
      <w:r>
        <w:rPr>
          <w:rFonts w:hint="eastAsia" w:ascii="仿宋_GB2312" w:hAnsi="宋体"/>
          <w:sz w:val="32"/>
          <w:szCs w:val="32"/>
          <w:lang w:val="en-US" w:eastAsia="zh-CN"/>
        </w:rPr>
        <w:t>188</w:t>
      </w:r>
      <w:r>
        <w:rPr>
          <w:rFonts w:hint="eastAsia" w:ascii="仿宋_GB2312" w:hAnsi="宋体" w:eastAsia="仿宋_GB2312"/>
          <w:sz w:val="32"/>
          <w:szCs w:val="32"/>
          <w:lang w:val="en-US" w:eastAsia="zh-CN"/>
        </w:rPr>
        <w:t>万元，资金到位100%，</w:t>
      </w:r>
      <w:r>
        <w:rPr>
          <w:rFonts w:hint="eastAsia" w:ascii="仿宋_GB2312" w:hAnsi="宋体" w:eastAsia="仿宋_GB2312"/>
          <w:sz w:val="32"/>
          <w:szCs w:val="32"/>
          <w:lang w:val="zh-CN"/>
        </w:rPr>
        <w:t>到位及时率100%，</w:t>
      </w:r>
      <w:r>
        <w:rPr>
          <w:rFonts w:hint="eastAsia" w:ascii="仿宋_GB2312" w:hAnsi="宋体" w:eastAsia="仿宋_GB2312"/>
          <w:sz w:val="32"/>
          <w:szCs w:val="32"/>
          <w:lang w:val="en-US" w:eastAsia="zh-CN"/>
        </w:rPr>
        <w:t>为市财政拨款资金。</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年共计支付</w:t>
      </w:r>
      <w:r>
        <w:rPr>
          <w:rFonts w:hint="eastAsia" w:ascii="仿宋_GB2312" w:hAnsi="宋体"/>
          <w:sz w:val="32"/>
          <w:szCs w:val="32"/>
          <w:lang w:val="en-US" w:eastAsia="zh-CN"/>
        </w:rPr>
        <w:t>173</w:t>
      </w:r>
      <w:r>
        <w:rPr>
          <w:rFonts w:hint="eastAsia" w:ascii="仿宋_GB2312" w:hAnsi="宋体" w:eastAsia="仿宋_GB2312"/>
          <w:sz w:val="32"/>
          <w:szCs w:val="32"/>
          <w:lang w:val="en-US" w:eastAsia="zh-CN"/>
        </w:rPr>
        <w:t>万元，均用于</w:t>
      </w:r>
      <w:r>
        <w:rPr>
          <w:rFonts w:hint="eastAsia" w:ascii="仿宋_GB2312" w:hAnsi="仿宋_GB2312" w:eastAsia="仿宋_GB2312" w:cs="仿宋_GB2312"/>
          <w:sz w:val="32"/>
          <w:szCs w:val="32"/>
          <w:lang w:eastAsia="zh-CN"/>
        </w:rPr>
        <w:t>保障司法警察加班津贴及执勤津贴及时发放，确保司改绩效全员发放到位。</w:t>
      </w:r>
      <w:r>
        <w:rPr>
          <w:rFonts w:hint="eastAsia" w:ascii="仿宋_GB2312" w:hAnsi="仿宋_GB2312" w:eastAsia="仿宋_GB2312" w:cs="仿宋_GB2312"/>
          <w:sz w:val="32"/>
          <w:szCs w:val="32"/>
          <w:lang w:val="zh-CN" w:eastAsia="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我院财务管理制度健全，在项目实施过程中严格执行相关财务管理制度，账务处理及时，会计核算规范。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由广安人民检察院管理，严格按照民警加班及员额检察官法官绩效考核奖金总量项目预算绩效目标、工作计划等实施。该项目为人员经费保障项目，根据上级文件执行，主要用于保障司法警察加班津贴及执勤津贴及时发放，确保司改绩效全员发放到位。</w:t>
      </w:r>
    </w:p>
    <w:p>
      <w:pPr>
        <w:pStyle w:val="2"/>
        <w:keepNext w:val="0"/>
        <w:keepLines w:val="0"/>
        <w:pageBreakBefore w:val="0"/>
        <w:widowControl w:val="0"/>
        <w:numPr>
          <w:ilvl w:val="0"/>
          <w:numId w:val="0"/>
        </w:numPr>
        <w:kinsoku/>
        <w:wordWrap/>
        <w:overflowPunct/>
        <w:topLinePunct w:val="0"/>
        <w:autoSpaceDE/>
        <w:autoSpaceDN/>
        <w:bidi w:val="0"/>
        <w:adjustRightInd w:val="0"/>
        <w:snapToGrid/>
        <w:ind w:leftChars="0"/>
        <w:jc w:val="both"/>
        <w:textAlignment w:val="auto"/>
        <w:rPr>
          <w:rFonts w:hint="eastAsia" w:ascii="仿宋_GB2312" w:hAnsi="宋体" w:eastAsia="仿宋_GB2312" w:cs="Times New Roman"/>
          <w:kern w:val="2"/>
          <w:sz w:val="32"/>
          <w:szCs w:val="32"/>
          <w:lang w:val="zh-CN" w:eastAsia="zh-CN" w:bidi="ar-SA"/>
        </w:rPr>
      </w:pPr>
      <w:r>
        <w:rPr>
          <w:rFonts w:hint="eastAsia" w:ascii="楷体_GB2312" w:hAnsi="宋体" w:eastAsia="楷体_GB2312" w:cs="Times New Roman"/>
          <w:b/>
          <w:kern w:val="2"/>
          <w:sz w:val="32"/>
          <w:szCs w:val="32"/>
          <w:lang w:val="en-US" w:eastAsia="zh-CN" w:bidi="ar-SA"/>
        </w:rPr>
        <w:t xml:space="preserve">    （二）</w:t>
      </w:r>
      <w:r>
        <w:rPr>
          <w:rFonts w:hint="eastAsia" w:ascii="楷体_GB2312" w:hAnsi="宋体" w:eastAsia="楷体_GB2312" w:cs="Times New Roman"/>
          <w:b/>
          <w:kern w:val="2"/>
          <w:sz w:val="32"/>
          <w:szCs w:val="32"/>
          <w:lang w:val="zh-CN" w:eastAsia="zh-CN" w:bidi="ar-SA"/>
        </w:rPr>
        <w:t>项目管理情况。</w:t>
      </w:r>
      <w:r>
        <w:rPr>
          <w:rFonts w:hint="eastAsia" w:ascii="仿宋_GB2312" w:hAnsi="宋体" w:eastAsia="仿宋_GB2312" w:cs="Times New Roman"/>
          <w:kern w:val="2"/>
          <w:sz w:val="32"/>
          <w:szCs w:val="32"/>
          <w:lang w:val="zh-CN" w:eastAsia="zh-CN" w:bidi="ar-SA"/>
        </w:rPr>
        <w:t>在规定范围内开展工作，实施单位均能严格执行相关法律法规及项目管理制度。</w:t>
      </w:r>
    </w:p>
    <w:p>
      <w:pPr>
        <w:adjustRightInd w:val="0"/>
        <w:snapToGrid w:val="0"/>
        <w:spacing w:line="600" w:lineRule="exact"/>
        <w:ind w:firstLine="643" w:firstLineChars="200"/>
        <w:rPr>
          <w:rFonts w:hint="default" w:ascii="仿宋_GB2312" w:hAnsi="宋体" w:eastAsia="宋体"/>
          <w:sz w:val="32"/>
          <w:szCs w:val="32"/>
          <w:lang w:val="en-US" w:eastAsia="zh-CN"/>
        </w:rPr>
      </w:pPr>
      <w:r>
        <w:rPr>
          <w:rFonts w:hint="eastAsia" w:ascii="楷体_GB2312" w:hAnsi="宋体" w:eastAsia="楷体_GB2312"/>
          <w:b/>
          <w:sz w:val="32"/>
          <w:szCs w:val="32"/>
          <w:lang w:val="zh-CN"/>
        </w:rPr>
        <w:t>（三）项目监管情况。</w:t>
      </w:r>
      <w:r>
        <w:rPr>
          <w:rFonts w:hint="eastAsia" w:ascii="仿宋_GB2312" w:hAnsi="宋体" w:eastAsia="仿宋_GB2312" w:cs="Times New Roman"/>
          <w:kern w:val="2"/>
          <w:sz w:val="32"/>
          <w:szCs w:val="32"/>
          <w:lang w:val="zh-CN" w:eastAsia="zh-CN" w:bidi="ar-SA"/>
        </w:rPr>
        <w:t>市纪委驻派纪检组及市院检务督察部对项目进行情况进行监管。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sz w:val="32"/>
          <w:szCs w:val="32"/>
          <w:lang w:val="zh-CN"/>
        </w:rPr>
      </w:pPr>
      <w:r>
        <w:rPr>
          <w:rFonts w:hint="eastAsia" w:ascii="黑体" w:hAnsi="宋体" w:eastAsia="黑体"/>
          <w:sz w:val="32"/>
          <w:szCs w:val="32"/>
          <w:lang w:eastAsia="zh-CN"/>
        </w:rPr>
        <w:t>四</w:t>
      </w:r>
      <w:r>
        <w:rPr>
          <w:rFonts w:hint="eastAsia" w:ascii="黑体" w:hAnsi="宋体" w:eastAsia="黑体"/>
          <w:sz w:val="32"/>
          <w:szCs w:val="32"/>
        </w:rPr>
        <w:t>、项目绩效情况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default" w:ascii="仿宋_GB2312" w:hAnsi="宋体" w:eastAsia="仿宋_GB2312" w:cs="Times New Roman"/>
          <w:sz w:val="32"/>
          <w:szCs w:val="32"/>
          <w:lang w:val="en-US" w:eastAsia="zh-CN"/>
        </w:rPr>
      </w:pPr>
      <w:r>
        <w:rPr>
          <w:rFonts w:hint="eastAsia" w:ascii="仿宋_GB2312" w:hAnsi="宋体" w:eastAsia="仿宋_GB2312"/>
          <w:sz w:val="32"/>
          <w:szCs w:val="32"/>
          <w:lang w:val="zh-CN"/>
        </w:rPr>
        <w:t>完成了年初绩效目标，保障了</w:t>
      </w:r>
      <w:r>
        <w:rPr>
          <w:rFonts w:hint="eastAsia" w:ascii="仿宋_GB2312" w:hAnsi="仿宋_GB2312" w:eastAsia="仿宋_GB2312" w:cs="仿宋_GB2312"/>
          <w:sz w:val="32"/>
          <w:szCs w:val="32"/>
        </w:rPr>
        <w:t>民警加班及员额检察官绩效考核奖</w:t>
      </w:r>
      <w:r>
        <w:rPr>
          <w:rFonts w:hint="eastAsia" w:ascii="仿宋_GB2312" w:hAnsi="宋体" w:eastAsia="仿宋_GB2312" w:cs="Times New Roman"/>
          <w:sz w:val="32"/>
          <w:szCs w:val="32"/>
          <w:lang w:val="zh-CN"/>
        </w:rPr>
        <w:t>金</w:t>
      </w:r>
      <w:r>
        <w:rPr>
          <w:rFonts w:hint="eastAsia" w:ascii="仿宋_GB2312" w:hAnsi="宋体" w:eastAsia="仿宋_GB2312" w:cs="Times New Roman"/>
          <w:sz w:val="32"/>
          <w:szCs w:val="32"/>
          <w:lang w:val="zh-CN" w:eastAsia="zh-CN"/>
        </w:rPr>
        <w:t>等发放，质量指标达到</w:t>
      </w:r>
      <w:r>
        <w:rPr>
          <w:rFonts w:hint="eastAsia" w:ascii="仿宋_GB2312" w:hAnsi="宋体" w:eastAsia="仿宋_GB2312" w:cs="Times New Roman"/>
          <w:sz w:val="32"/>
          <w:szCs w:val="32"/>
          <w:lang w:val="en-US" w:eastAsia="zh-CN"/>
        </w:rPr>
        <w:t>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仿宋_GB2312" w:eastAsia="仿宋_GB2312" w:cs="仿宋_GB2312"/>
          <w:sz w:val="32"/>
          <w:szCs w:val="32"/>
          <w:lang w:val="zh-CN"/>
        </w:rPr>
        <w:t>平稳改革促进人员待遇保障率提升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促进相关津贴绩效规范发放，提升满意度，保障队伍稳定性。</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r>
        <w:rPr>
          <w:rFonts w:hint="eastAsia" w:ascii="仿宋_GB2312" w:hAnsi="仿宋_GB2312" w:eastAsia="仿宋_GB2312" w:cs="仿宋_GB2312"/>
          <w:sz w:val="32"/>
          <w:szCs w:val="32"/>
          <w:lang w:val="zh-CN" w:eastAsia="zh-CN"/>
        </w:rPr>
        <w:t>项目完成情况较好。总体经费使用达到预期效果。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仿宋_GB2312" w:eastAsia="仿宋_GB2312" w:cs="仿宋_GB2312"/>
          <w:sz w:val="32"/>
          <w:szCs w:val="32"/>
          <w:lang w:val="zh-CN"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eastAsia="zh-CN"/>
        </w:rPr>
      </w:pPr>
      <w:r>
        <w:rPr>
          <w:rFonts w:hint="eastAsia" w:ascii="楷体_GB2312" w:hAnsi="宋体" w:eastAsia="楷体_GB2312"/>
          <w:b/>
          <w:sz w:val="32"/>
          <w:szCs w:val="32"/>
          <w:lang w:val="zh-CN"/>
        </w:rPr>
        <w:t>（三）相关建议。</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附件</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pPr>
        <w:spacing w:line="580" w:lineRule="exact"/>
        <w:ind w:firstLine="640"/>
        <w:jc w:val="center"/>
        <w:rPr>
          <w:rFonts w:hint="default"/>
          <w:lang w:val="en-US" w:eastAsia="zh-CN"/>
        </w:rPr>
      </w:pPr>
      <w:r>
        <w:rPr>
          <w:rFonts w:hint="default" w:ascii="Times New Roman" w:hAnsi="Times New Roman" w:eastAsia="仿宋_GB2312" w:cs="Times New Roman"/>
          <w:b/>
          <w:bCs/>
          <w:color w:val="auto"/>
          <w:sz w:val="32"/>
          <w:szCs w:val="32"/>
          <w:highlight w:val="none"/>
          <w:lang w:val="en-US" w:eastAsia="zh-CN"/>
        </w:rPr>
        <w:t>部门预算项目绩效目标自评表</w:t>
      </w:r>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民警加班及员额检察官法官绩效考核奖金总量</w:t>
      </w:r>
      <w:r>
        <w:rPr>
          <w:rFonts w:hint="eastAsia" w:eastAsia="仿宋_GB2312" w:cs="Times New Roman"/>
          <w:b/>
          <w:bCs/>
          <w:color w:val="auto"/>
          <w:sz w:val="32"/>
          <w:szCs w:val="32"/>
          <w:highlight w:val="none"/>
          <w:lang w:val="en-US" w:eastAsia="zh-CN"/>
        </w:rPr>
        <w:t>项目</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民警加班及员额检察官法官绩效考核奖金总量</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发放司法警察加班津贴及执勤津贴、司改绩效</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发放司法警察加班津贴及执勤津贴、司改绩效</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司法警察执勤津贴发放人数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司改绩效发放人数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82人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司法警察加班补贴发放人数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有利于推进司法体制改革进度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相关津贴及绩效发放时间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司法警察加班及执勤津贴发放金额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平稳改革促进人员待遇保障率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干警对相关津贴及绩效发放工作的满意度的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95%</w:t>
            </w:r>
          </w:p>
        </w:tc>
      </w:tr>
    </w:tbl>
    <w:p>
      <w:pPr>
        <w:widowControl/>
        <w:jc w:val="left"/>
        <w:rPr>
          <w:rStyle w:val="25"/>
          <w:rFonts w:ascii="黑体" w:hAnsi="黑体" w:eastAsia="黑体"/>
          <w:b w:val="0"/>
        </w:rPr>
      </w:pPr>
    </w:p>
    <w:p>
      <w:pPr>
        <w:spacing w:line="600" w:lineRule="exact"/>
        <w:jc w:val="both"/>
        <w:outlineLvl w:val="0"/>
        <w:rPr>
          <w:rStyle w:val="25"/>
          <w:rFonts w:ascii="黑体" w:hAnsi="黑体" w:eastAsia="黑体"/>
          <w:b w:val="0"/>
        </w:rPr>
      </w:pP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0"/>
    </w:p>
    <w:p>
      <w:pPr>
        <w:pStyle w:val="4"/>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4"/>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4"/>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4"/>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4"/>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4"/>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4"/>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4"/>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4"/>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4"/>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4"/>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4"/>
        <w:rPr>
          <w:rStyle w:val="26"/>
          <w:rFonts w:ascii="仿宋" w:hAnsi="仿宋" w:eastAsia="仿宋"/>
          <w:b w:val="0"/>
          <w:bCs w:val="0"/>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国有资本经营预算财政拨款收入支出决算表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b w:val="0"/>
          <w:color w:val="000000"/>
        </w:rPr>
        <w:t>十四、国</w:t>
      </w:r>
      <w:r>
        <w:rPr>
          <w:rStyle w:val="26"/>
          <w:rFonts w:hint="eastAsia" w:ascii="仿宋" w:hAnsi="仿宋" w:eastAsia="仿宋"/>
          <w:b w:val="0"/>
          <w:bCs w:val="0"/>
        </w:rPr>
        <w:t>有资本经营预算财政拨款支出决算表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755115E"/>
    <w:multiLevelType w:val="singleLevel"/>
    <w:tmpl w:val="F755115E"/>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5D54D9C"/>
    <w:rsid w:val="06427103"/>
    <w:rsid w:val="0669648E"/>
    <w:rsid w:val="06B801E1"/>
    <w:rsid w:val="06D17D0B"/>
    <w:rsid w:val="09B3669D"/>
    <w:rsid w:val="0A2032A3"/>
    <w:rsid w:val="0ACB72E5"/>
    <w:rsid w:val="0BD1285F"/>
    <w:rsid w:val="0DE21480"/>
    <w:rsid w:val="10C055FF"/>
    <w:rsid w:val="118107EC"/>
    <w:rsid w:val="152E6302"/>
    <w:rsid w:val="16BB723D"/>
    <w:rsid w:val="17823CF2"/>
    <w:rsid w:val="1793097A"/>
    <w:rsid w:val="18534BA8"/>
    <w:rsid w:val="19375FF7"/>
    <w:rsid w:val="1CFA550D"/>
    <w:rsid w:val="1D155CEE"/>
    <w:rsid w:val="1DC54782"/>
    <w:rsid w:val="1DF36DD6"/>
    <w:rsid w:val="1E8B5456"/>
    <w:rsid w:val="22D102D6"/>
    <w:rsid w:val="240371BF"/>
    <w:rsid w:val="24270C66"/>
    <w:rsid w:val="26172211"/>
    <w:rsid w:val="27976900"/>
    <w:rsid w:val="29FD04D3"/>
    <w:rsid w:val="2BDC73E3"/>
    <w:rsid w:val="2CF92D3D"/>
    <w:rsid w:val="2E9920B4"/>
    <w:rsid w:val="30B97C74"/>
    <w:rsid w:val="311B17EC"/>
    <w:rsid w:val="31981078"/>
    <w:rsid w:val="319F7F4E"/>
    <w:rsid w:val="31C06AA2"/>
    <w:rsid w:val="34D66C80"/>
    <w:rsid w:val="359207D5"/>
    <w:rsid w:val="384F1DA4"/>
    <w:rsid w:val="387E5813"/>
    <w:rsid w:val="39B90593"/>
    <w:rsid w:val="3A8B515E"/>
    <w:rsid w:val="3A9B135E"/>
    <w:rsid w:val="3C66733D"/>
    <w:rsid w:val="3D065BAF"/>
    <w:rsid w:val="3FFA232E"/>
    <w:rsid w:val="4194777E"/>
    <w:rsid w:val="421666B2"/>
    <w:rsid w:val="4574072F"/>
    <w:rsid w:val="46901A51"/>
    <w:rsid w:val="47B01E42"/>
    <w:rsid w:val="482A15FB"/>
    <w:rsid w:val="497572B3"/>
    <w:rsid w:val="49A30776"/>
    <w:rsid w:val="4C621F0F"/>
    <w:rsid w:val="4CCB28C9"/>
    <w:rsid w:val="4ECE2238"/>
    <w:rsid w:val="4FFC3FBA"/>
    <w:rsid w:val="50667B86"/>
    <w:rsid w:val="52470344"/>
    <w:rsid w:val="535F1A2B"/>
    <w:rsid w:val="55C04EA2"/>
    <w:rsid w:val="593654B4"/>
    <w:rsid w:val="631122C9"/>
    <w:rsid w:val="63AD7B24"/>
    <w:rsid w:val="6602552C"/>
    <w:rsid w:val="66897FFD"/>
    <w:rsid w:val="66B01C6E"/>
    <w:rsid w:val="67704F2B"/>
    <w:rsid w:val="6B7D53F5"/>
    <w:rsid w:val="6C4A05C8"/>
    <w:rsid w:val="6CEE2D6F"/>
    <w:rsid w:val="6D2920DD"/>
    <w:rsid w:val="6D4D6A44"/>
    <w:rsid w:val="6ED36BA4"/>
    <w:rsid w:val="6F072F89"/>
    <w:rsid w:val="70C075D3"/>
    <w:rsid w:val="72734D90"/>
    <w:rsid w:val="75585ABA"/>
    <w:rsid w:val="759B6318"/>
    <w:rsid w:val="76950A1B"/>
    <w:rsid w:val="774F572B"/>
    <w:rsid w:val="7908556B"/>
    <w:rsid w:val="79BD3C07"/>
    <w:rsid w:val="79E41FC5"/>
    <w:rsid w:val="7C113245"/>
    <w:rsid w:val="7CDC7CD3"/>
    <w:rsid w:val="7FAF56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4"/>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31"/>
    <w:basedOn w:val="14"/>
    <w:qFormat/>
    <w:uiPriority w:val="0"/>
    <w:rPr>
      <w:rFonts w:ascii="宋体" w:hAnsi="宋体" w:eastAsia="宋体" w:cs="宋体"/>
      <w:color w:val="000000"/>
      <w:sz w:val="24"/>
      <w:szCs w:val="24"/>
      <w:u w:val="none"/>
    </w:rPr>
  </w:style>
  <w:style w:type="character" w:customStyle="1" w:styleId="32">
    <w:name w:val="font21"/>
    <w:basedOn w:val="14"/>
    <w:qFormat/>
    <w:uiPriority w:val="0"/>
    <w:rPr>
      <w:rFonts w:hint="eastAsia" w:ascii="宋体" w:hAnsi="宋体" w:eastAsia="宋体" w:cs="宋体"/>
      <w:color w:val="000000"/>
      <w:sz w:val="24"/>
      <w:szCs w:val="24"/>
      <w:u w:val="none"/>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4">
    <w:name w:val="目录 2 Char"/>
    <w:link w:val="11"/>
    <w:qFormat/>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915;&#31639;\2021\2021&#24180;&#37096;&#38376;&#20915;&#31639;&#20844;&#24320;\&#24037;&#20316;&#31807;202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915;&#31639;\2021\2021&#24180;&#37096;&#38376;&#20915;&#31639;&#20844;&#24320;\&#24037;&#20316;&#31807;202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915;&#31639;\2021\2021&#24180;&#37096;&#38376;&#20915;&#31639;&#20844;&#24320;\&#24037;&#20316;&#31807;202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915;&#31639;\2021\2021&#24180;&#37096;&#38376;&#20915;&#31639;&#20844;&#24320;\&#24037;&#20316;&#31807;202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915;&#31639;\2021\2021&#24180;&#37096;&#38376;&#20915;&#31639;&#20844;&#24320;\&#24037;&#20316;&#31807;202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915;&#31639;\2021\2021&#24180;&#37096;&#38376;&#20915;&#31639;&#20844;&#24320;\&#24037;&#20316;&#31807;202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915;&#31639;\2021\2021&#24180;&#37096;&#38376;&#20915;&#31639;&#20844;&#24320;\&#24037;&#20316;&#31807;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[工作簿2021.xlsx]Sheet1!$A$3:$A$4</c:f>
              <c:strCache>
                <c:ptCount val="2"/>
                <c:pt idx="0">
                  <c:v>2020年</c:v>
                </c:pt>
                <c:pt idx="1">
                  <c:v>2021年</c:v>
                </c:pt>
              </c:strCache>
            </c:strRef>
          </c:cat>
          <c:val>
            <c:numRef>
              <c:f>[工作簿2021.xlsx]Sheet1!$B$3:$B$4</c:f>
              <c:numCache>
                <c:formatCode>General</c:formatCode>
                <c:ptCount val="2"/>
                <c:pt idx="0">
                  <c:v>1975.31</c:v>
                </c:pt>
                <c:pt idx="1">
                  <c:v>1738.12</c:v>
                </c:pt>
              </c:numCache>
            </c:numRef>
          </c:val>
        </c:ser>
        <c:dLbls>
          <c:showLegendKey val="0"/>
          <c:showVal val="1"/>
          <c:showCatName val="0"/>
          <c:showSerName val="0"/>
          <c:showPercent val="0"/>
          <c:showBubbleSize val="0"/>
        </c:dLbls>
        <c:gapWidth val="219"/>
        <c:overlap val="-27"/>
        <c:axId val="616038092"/>
        <c:axId val="716049629"/>
      </c:barChart>
      <c:catAx>
        <c:axId val="6160380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049629"/>
        <c:crosses val="autoZero"/>
        <c:auto val="1"/>
        <c:lblAlgn val="ctr"/>
        <c:lblOffset val="100"/>
        <c:noMultiLvlLbl val="0"/>
      </c:catAx>
      <c:valAx>
        <c:axId val="7160496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0380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0"/>
          <c:order val="0"/>
          <c:tx>
            <c:strRef>
              <c:f>[工作簿2021.xlsx]Sheet1!$A$17</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[工作簿1.xlsx]Sheet1!$A$17</c:f>
              <c:strCache>
                <c:ptCount val="1"/>
                <c:pt idx="0">
                  <c:v>一般公共预算财政拨款收入</c:v>
                </c:pt>
              </c:strCache>
            </c:strRef>
          </c:cat>
          <c:val>
            <c:numRef>
              <c:f>[工作簿1.xlsx]Sheet1!$B$17</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[工作簿2021.xlsx]Sheet1!$A$31:$A$32</c:f>
              <c:strCache>
                <c:ptCount val="2"/>
                <c:pt idx="0">
                  <c:v>基本支出</c:v>
                </c:pt>
                <c:pt idx="1">
                  <c:v>项目支出</c:v>
                </c:pt>
              </c:strCache>
            </c:strRef>
          </c:cat>
          <c:val>
            <c:numRef>
              <c:f>[工作簿2021.xlsx]Sheet1!$B$31:$B$32</c:f>
              <c:numCache>
                <c:formatCode>0.00%</c:formatCode>
                <c:ptCount val="2"/>
                <c:pt idx="0">
                  <c:v>0.68</c:v>
                </c:pt>
                <c:pt idx="1">
                  <c:v>0.32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manualLayout>
          <c:xMode val="edge"/>
          <c:yMode val="edge"/>
          <c:x val="0.153322371602669"/>
          <c:y val="0.034909560984431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[工作簿2021.xlsx]Sheet1!$A$45:$A$46</c:f>
              <c:strCache>
                <c:ptCount val="2"/>
                <c:pt idx="0">
                  <c:v>2020年</c:v>
                </c:pt>
                <c:pt idx="1">
                  <c:v>2021年</c:v>
                </c:pt>
              </c:strCache>
            </c:strRef>
          </c:cat>
          <c:val>
            <c:numRef>
              <c:f>[工作簿2021.xlsx]Sheet1!$B$45:$B$46</c:f>
              <c:numCache>
                <c:formatCode>General</c:formatCode>
                <c:ptCount val="2"/>
                <c:pt idx="0">
                  <c:v>1975.31</c:v>
                </c:pt>
                <c:pt idx="1">
                  <c:v>1738.12</c:v>
                </c:pt>
              </c:numCache>
            </c:numRef>
          </c:val>
        </c:ser>
        <c:dLbls>
          <c:showLegendKey val="0"/>
          <c:showVal val="1"/>
          <c:showCatName val="0"/>
          <c:showSerName val="0"/>
          <c:showPercent val="0"/>
          <c:showBubbleSize val="0"/>
        </c:dLbls>
        <c:gapWidth val="219"/>
        <c:overlap val="-27"/>
        <c:axId val="152512296"/>
        <c:axId val="867547474"/>
      </c:barChart>
      <c:catAx>
        <c:axId val="152512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547474"/>
        <c:crosses val="autoZero"/>
        <c:auto val="1"/>
        <c:lblAlgn val="ctr"/>
        <c:lblOffset val="100"/>
        <c:noMultiLvlLbl val="0"/>
      </c:catAx>
      <c:valAx>
        <c:axId val="8675474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51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manualLayout>
          <c:xMode val="edge"/>
          <c:yMode val="edge"/>
          <c:x val="0.0932139388977683"/>
          <c:y val="0.038368185212845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[工作簿2021.xlsx]Sheet1!$A$59:$A$60</c:f>
              <c:strCache>
                <c:ptCount val="2"/>
                <c:pt idx="0">
                  <c:v>2020年</c:v>
                </c:pt>
                <c:pt idx="1">
                  <c:v>2021年</c:v>
                </c:pt>
              </c:strCache>
            </c:strRef>
          </c:cat>
          <c:val>
            <c:numRef>
              <c:f>[工作簿2021.xlsx]Sheet1!$B$59:$B$60</c:f>
              <c:numCache>
                <c:formatCode>General</c:formatCode>
                <c:ptCount val="2"/>
                <c:pt idx="0">
                  <c:v>1820.29</c:v>
                </c:pt>
                <c:pt idx="1">
                  <c:v>1738.12</c:v>
                </c:pt>
              </c:numCache>
            </c:numRef>
          </c:val>
        </c:ser>
        <c:dLbls>
          <c:showLegendKey val="0"/>
          <c:showVal val="1"/>
          <c:showCatName val="0"/>
          <c:showSerName val="0"/>
          <c:showPercent val="0"/>
          <c:showBubbleSize val="0"/>
        </c:dLbls>
        <c:gapWidth val="219"/>
        <c:overlap val="-27"/>
        <c:axId val="574185511"/>
        <c:axId val="41246250"/>
      </c:barChart>
      <c:catAx>
        <c:axId val="57418551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46250"/>
        <c:crosses val="autoZero"/>
        <c:auto val="1"/>
        <c:lblAlgn val="ctr"/>
        <c:lblOffset val="100"/>
        <c:noMultiLvlLbl val="0"/>
      </c:catAx>
      <c:valAx>
        <c:axId val="412462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185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：一般公共预算财政拨款支出决算结构</a:t>
            </a:r>
            <a:endParaRPr altLang="en-US"/>
          </a:p>
        </c:rich>
      </c:tx>
      <c:layout>
        <c:manualLayout>
          <c:xMode val="edge"/>
          <c:yMode val="edge"/>
          <c:x val="0.150795810093865"/>
          <c:y val="0.043269230769230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[工作簿2021.xlsx]Sheet1!$A$73:$A$75</c:f>
              <c:strCache>
                <c:ptCount val="3"/>
                <c:pt idx="0">
                  <c:v>公共安全支出</c:v>
                </c:pt>
                <c:pt idx="1">
                  <c:v>社会保障和就业支出</c:v>
                </c:pt>
                <c:pt idx="2">
                  <c:v>卫生健康支出</c:v>
                </c:pt>
              </c:strCache>
            </c:strRef>
          </c:cat>
          <c:val>
            <c:numRef>
              <c:f>[工作簿2021.xlsx]Sheet1!$B$73:$B$75</c:f>
              <c:numCache>
                <c:formatCode>0.00%</c:formatCode>
                <c:ptCount val="3"/>
                <c:pt idx="0">
                  <c:v>0.9</c:v>
                </c:pt>
                <c:pt idx="1">
                  <c:v>0.07</c:v>
                </c:pt>
                <c:pt idx="2">
                  <c:v>0.03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a:t>
            </a: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[工作簿2021.xlsx]Sheet1!$A$86:$A$88</c:f>
              <c:strCache>
                <c:ptCount val="3"/>
                <c:pt idx="0">
                  <c:v>因公出国（境）经费</c:v>
                </c:pt>
                <c:pt idx="1">
                  <c:v>公务用车购置及运行维护费</c:v>
                </c:pt>
                <c:pt idx="2">
                  <c:v>公务接待费</c:v>
                </c:pt>
              </c:strCache>
            </c:strRef>
          </c:cat>
          <c:val>
            <c:numRef>
              <c:f>[工作簿2021.xlsx]Sheet1!$B$86:$B$88</c:f>
              <c:numCache>
                <c:formatCode>0%</c:formatCode>
                <c:ptCount val="3"/>
                <c:pt idx="0">
                  <c:v>0</c:v>
                </c:pt>
                <c:pt idx="1" c:formatCode="0.00%">
                  <c:v>0.94</c:v>
                </c:pt>
                <c:pt idx="2" c:formatCode="0.00%">
                  <c:v>0.06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75</TotalTime>
  <ScaleCrop>false</ScaleCrop>
  <LinksUpToDate>false</LinksUpToDate>
  <CharactersWithSpaces>8652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Administrator</cp:lastModifiedBy>
  <cp:lastPrinted>2023-04-04T02:41:00Z</cp:lastPrinted>
  <dcterms:modified xsi:type="dcterms:W3CDTF">2023-05-26T10:38:14Z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