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78441"/>
      <w:bookmarkStart w:id="3" w:name="_Toc15377425"/>
      <w:bookmarkStart w:id="4" w:name="_Toc15396475"/>
      <w:bookmarkStart w:id="5" w:name="_Toc15396597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96476"/>
      <w:bookmarkStart w:id="9" w:name="_Toc15377426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96600"/>
      <w:bookmarkStart w:id="12" w:name="_Toc15377197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77200"/>
      <w:bookmarkStart w:id="14" w:name="_Toc15396601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</w:t>
      </w:r>
      <w:bookmarkStart w:id="27" w:name="_GoBack"/>
      <w:r>
        <w:rPr>
          <w:rFonts w:hint="eastAsia" w:ascii="仿宋_GB2312" w:hAnsi="仿宋" w:eastAsia="仿宋_GB2312"/>
          <w:color w:val="000000"/>
          <w:sz w:val="32"/>
          <w:szCs w:val="32"/>
        </w:rPr>
        <w:t>对于公安机关办理的刑事案件进行审查，决定是否批准逮捕、</w:t>
      </w:r>
      <w:bookmarkEnd w:id="27"/>
      <w:r>
        <w:rPr>
          <w:rFonts w:hint="eastAsia" w:ascii="仿宋_GB2312" w:hAnsi="仿宋" w:eastAsia="仿宋_GB2312"/>
          <w:color w:val="000000"/>
          <w:sz w:val="32"/>
          <w:szCs w:val="32"/>
        </w:rPr>
        <w:t>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353.21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（预算未上人代会，所有指标未预下指标）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90.08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20.32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213"/>
      <w:bookmarkStart w:id="20" w:name="_Toc15377444"/>
      <w:bookmarkStart w:id="21" w:name="_Toc1537846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353.21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57.42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2.工资和福利支出（类）津贴补贴（款）: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48.16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210.54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（三）政府性基金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line="590" w:lineRule="exact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C405ACF"/>
    <w:rsid w:val="10C055FF"/>
    <w:rsid w:val="16BB723D"/>
    <w:rsid w:val="240371BF"/>
    <w:rsid w:val="29133B65"/>
    <w:rsid w:val="29FD04D3"/>
    <w:rsid w:val="315E1AC3"/>
    <w:rsid w:val="319F7F4E"/>
    <w:rsid w:val="3A4A64D8"/>
    <w:rsid w:val="3E932CF0"/>
    <w:rsid w:val="3F4A167B"/>
    <w:rsid w:val="495E6330"/>
    <w:rsid w:val="4F131EE8"/>
    <w:rsid w:val="61244BAB"/>
    <w:rsid w:val="63F53B8C"/>
    <w:rsid w:val="65CF1C82"/>
    <w:rsid w:val="67F4097D"/>
    <w:rsid w:val="78DC2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105</TotalTime>
  <ScaleCrop>false</ScaleCrop>
  <LinksUpToDate>false</LinksUpToDate>
  <CharactersWithSpaces>1178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2020-01-19T04:31:00Z</cp:lastPrinted>
  <dcterms:modified xsi:type="dcterms:W3CDTF">2020-03-09T09:49:01Z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