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B2" w:rsidRDefault="00E751B2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  <w:bookmarkStart w:id="0" w:name="_Toc15306267"/>
    </w:p>
    <w:p w:rsidR="00E751B2" w:rsidRDefault="00E751B2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E751B2" w:rsidRDefault="00E751B2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E751B2" w:rsidRDefault="00E751B2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E751B2" w:rsidRDefault="00B833A5">
      <w:pPr>
        <w:adjustRightInd w:val="0"/>
        <w:snapToGrid w:val="0"/>
        <w:spacing w:line="360" w:lineRule="auto"/>
        <w:jc w:val="center"/>
        <w:outlineLvl w:val="0"/>
        <w:rPr>
          <w:rFonts w:asciiTheme="majorEastAsia" w:eastAsiaTheme="majorEastAsia" w:hAnsiTheme="majorEastAsia"/>
          <w:b/>
          <w:color w:val="000000"/>
          <w:sz w:val="72"/>
          <w:szCs w:val="72"/>
        </w:rPr>
      </w:pPr>
      <w:bookmarkStart w:id="1" w:name="_Toc15396475"/>
      <w:bookmarkStart w:id="2" w:name="_Toc15396597"/>
      <w:bookmarkStart w:id="3" w:name="_Toc15378441"/>
      <w:bookmarkStart w:id="4" w:name="_Toc15377193"/>
      <w:bookmarkStart w:id="5" w:name="_Toc15377425"/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2019</w:t>
      </w:r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11</w:t>
      </w:r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月</w:t>
      </w:r>
    </w:p>
    <w:p w:rsidR="00E751B2" w:rsidRDefault="00B833A5">
      <w:pPr>
        <w:adjustRightInd w:val="0"/>
        <w:snapToGrid w:val="0"/>
        <w:spacing w:line="360" w:lineRule="auto"/>
        <w:jc w:val="center"/>
        <w:outlineLvl w:val="0"/>
        <w:rPr>
          <w:rFonts w:asciiTheme="majorEastAsia" w:eastAsiaTheme="majorEastAsia" w:hAnsiTheme="majorEastAsia"/>
          <w:b/>
          <w:color w:val="000000"/>
          <w:sz w:val="72"/>
          <w:szCs w:val="72"/>
        </w:rPr>
      </w:pPr>
      <w:bookmarkStart w:id="6" w:name="_Toc15377426"/>
      <w:bookmarkStart w:id="7" w:name="_Toc15378442"/>
      <w:bookmarkStart w:id="8" w:name="_Toc15396598"/>
      <w:bookmarkStart w:id="9" w:name="_Toc15396476"/>
      <w:bookmarkStart w:id="10" w:name="_Toc15377194"/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检察院</w:t>
      </w:r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预算执行</w:t>
      </w:r>
    </w:p>
    <w:p w:rsidR="00E751B2" w:rsidRDefault="00B833A5">
      <w:pPr>
        <w:adjustRightInd w:val="0"/>
        <w:snapToGrid w:val="0"/>
        <w:spacing w:line="360" w:lineRule="auto"/>
        <w:jc w:val="center"/>
        <w:outlineLvl w:val="0"/>
        <w:rPr>
          <w:rFonts w:asciiTheme="majorEastAsia" w:eastAsiaTheme="majorEastAsia" w:hAnsiTheme="majorEastAsia"/>
          <w:b/>
          <w:color w:val="000000"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color w:val="000000"/>
          <w:sz w:val="72"/>
          <w:szCs w:val="72"/>
        </w:rPr>
        <w:t>情况说明</w:t>
      </w:r>
    </w:p>
    <w:p w:rsidR="00E751B2" w:rsidRDefault="00B833A5">
      <w:pPr>
        <w:adjustRightInd w:val="0"/>
        <w:snapToGrid w:val="0"/>
        <w:spacing w:line="360" w:lineRule="auto"/>
        <w:jc w:val="center"/>
        <w:outlineLvl w:val="0"/>
        <w:rPr>
          <w:rFonts w:asciiTheme="majorEastAsia" w:eastAsiaTheme="majorEastAsia" w:hAnsiTheme="majorEastAsia"/>
          <w:b/>
          <w:color w:val="000000"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color w:val="000000"/>
          <w:sz w:val="52"/>
          <w:szCs w:val="52"/>
        </w:rPr>
        <w:t xml:space="preserve"> </w:t>
      </w:r>
    </w:p>
    <w:p w:rsidR="00E751B2" w:rsidRDefault="00B833A5" w:rsidP="00EA62E1">
      <w:pPr>
        <w:ind w:left="7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小标宋简体" w:eastAsia="方正小标宋简体" w:hAnsi="宋体"/>
          <w:sz w:val="36"/>
          <w:szCs w:val="36"/>
        </w:rPr>
        <w:br w:type="page"/>
      </w:r>
      <w:bookmarkStart w:id="11" w:name="_Toc15377197"/>
      <w:bookmarkStart w:id="12" w:name="_Toc15396600"/>
      <w:r w:rsidR="00EA62E1">
        <w:rPr>
          <w:rFonts w:ascii="方正小标宋简体" w:eastAsia="方正小标宋简体" w:hAnsi="宋体" w:hint="eastAsia"/>
          <w:sz w:val="36"/>
          <w:szCs w:val="36"/>
        </w:rPr>
        <w:lastRenderedPageBreak/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基本职能</w:t>
      </w:r>
      <w:bookmarkStart w:id="13" w:name="_Toc15377200"/>
      <w:bookmarkStart w:id="14" w:name="_Toc15396601"/>
      <w:bookmarkEnd w:id="11"/>
      <w:bookmarkEnd w:id="12"/>
    </w:p>
    <w:p w:rsidR="00E751B2" w:rsidRDefault="00B833A5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检察院的主要职能包括：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对于叛国案、分裂国家案以及严重破坏国家的政策、法律、法令、政令统一实施的重大犯罪案件行使国家检察权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对于直接受理的刑事案件进行侦查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对于公安机关办理的刑事案件进行审查，决定是否批准逮捕、起诉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对于公安机关的立案活动、侦查活动是否合法实行监督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对于刑事案件提起公诉，支持公诉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对于人民法院刑事审判活动是否合法实行监督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对于刑事案件判决、裁定的执行和监狱、看守所、劳动改造机关的活动是否合法实行监督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对于民事诉讼和行政诉讼是否合法实行监督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;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法律规定的其他职权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751B2" w:rsidRDefault="00B833A5">
      <w:pPr>
        <w:ind w:firstLineChars="200" w:firstLine="640"/>
        <w:rPr>
          <w:rStyle w:val="2Char"/>
          <w:rFonts w:ascii="黑体" w:eastAsia="黑体" w:hAnsi="黑体" w:cs="Times New Roman"/>
          <w:b w:val="0"/>
          <w:kern w:val="44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bookmarkEnd w:id="13"/>
      <w:bookmarkEnd w:id="14"/>
      <w:r>
        <w:rPr>
          <w:rFonts w:ascii="黑体" w:eastAsia="黑体" w:hAnsi="黑体" w:hint="eastAsia"/>
          <w:color w:val="000000"/>
          <w:sz w:val="32"/>
          <w:szCs w:val="32"/>
        </w:rPr>
        <w:t>预算执行情况说明</w:t>
      </w:r>
    </w:p>
    <w:p w:rsidR="00E751B2" w:rsidRDefault="00B833A5">
      <w:pPr>
        <w:spacing w:line="590" w:lineRule="exact"/>
        <w:ind w:firstLineChars="200" w:firstLine="640"/>
        <w:outlineLvl w:val="1"/>
        <w:rPr>
          <w:rStyle w:val="2Char"/>
          <w:rFonts w:ascii="仿宋_GB2312" w:eastAsia="仿宋_GB2312" w:hAnsi="黑体"/>
          <w:b w:val="0"/>
        </w:rPr>
      </w:pPr>
      <w:bookmarkStart w:id="15" w:name="_Toc15396606"/>
      <w:bookmarkStart w:id="16" w:name="_Toc15377208"/>
      <w:r>
        <w:rPr>
          <w:rFonts w:ascii="仿宋_GB2312" w:eastAsia="仿宋_GB2312" w:hAnsi="黑体" w:hint="eastAsia"/>
          <w:color w:val="000000"/>
          <w:sz w:val="32"/>
          <w:szCs w:val="32"/>
        </w:rPr>
        <w:t>（一）财</w:t>
      </w:r>
      <w:r>
        <w:rPr>
          <w:rStyle w:val="2Char"/>
          <w:rFonts w:ascii="仿宋_GB2312" w:eastAsia="仿宋_GB2312" w:hAnsi="黑体" w:hint="eastAsia"/>
          <w:b w:val="0"/>
        </w:rPr>
        <w:t>政拨款支出总体情况</w:t>
      </w:r>
      <w:bookmarkEnd w:id="15"/>
      <w:bookmarkEnd w:id="16"/>
    </w:p>
    <w:p w:rsidR="00E751B2" w:rsidRDefault="00B833A5">
      <w:pPr>
        <w:spacing w:line="59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截至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广安市检察院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财政拨款累计支出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1826.22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万元，占预算的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，同比减少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1152.9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万元，减少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。支出变动主要原因是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年信息化建设支出大，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年信息化建设支出相对减少。</w:t>
      </w:r>
    </w:p>
    <w:p w:rsidR="00E751B2" w:rsidRDefault="00B833A5">
      <w:pPr>
        <w:spacing w:line="590" w:lineRule="exact"/>
        <w:ind w:firstLineChars="200" w:firstLine="640"/>
        <w:outlineLvl w:val="1"/>
        <w:rPr>
          <w:rStyle w:val="2Char"/>
          <w:rFonts w:ascii="仿宋_GB2312" w:eastAsia="仿宋_GB2312" w:hAnsi="黑体"/>
          <w:b w:val="0"/>
        </w:rPr>
      </w:pPr>
      <w:bookmarkStart w:id="17" w:name="_Toc15377209"/>
      <w:bookmarkStart w:id="18" w:name="_Toc15396607"/>
      <w:r>
        <w:rPr>
          <w:rFonts w:ascii="仿宋_GB2312" w:eastAsia="仿宋_GB2312" w:hAnsi="黑体" w:hint="eastAsia"/>
          <w:color w:val="000000"/>
          <w:sz w:val="32"/>
          <w:szCs w:val="32"/>
        </w:rPr>
        <w:t>（二）一</w:t>
      </w:r>
      <w:r>
        <w:rPr>
          <w:rStyle w:val="2Char"/>
          <w:rFonts w:ascii="仿宋_GB2312" w:eastAsia="仿宋_GB2312" w:hAnsi="黑体" w:hint="eastAsia"/>
          <w:b w:val="0"/>
        </w:rPr>
        <w:t>般公共预算财政拨款支出情况</w:t>
      </w:r>
      <w:bookmarkEnd w:id="17"/>
      <w:bookmarkEnd w:id="18"/>
    </w:p>
    <w:p w:rsidR="00E751B2" w:rsidRDefault="00B833A5">
      <w:pPr>
        <w:spacing w:line="590" w:lineRule="exact"/>
        <w:ind w:firstLineChars="200" w:firstLine="640"/>
        <w:outlineLvl w:val="2"/>
        <w:rPr>
          <w:rFonts w:ascii="仿宋_GB2312" w:eastAsia="仿宋_GB2312" w:hAnsi="仿宋"/>
          <w:color w:val="FF0000"/>
          <w:sz w:val="32"/>
          <w:szCs w:val="32"/>
        </w:rPr>
      </w:pPr>
      <w:bookmarkStart w:id="19" w:name="_Toc15377213"/>
      <w:bookmarkStart w:id="20" w:name="_Toc15377444"/>
      <w:bookmarkStart w:id="21" w:name="_Toc15378460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截至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广安市检察院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一般公共预算支出为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1826.22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</w:t>
      </w:r>
      <w:r>
        <w:rPr>
          <w:rStyle w:val="a7"/>
          <w:rFonts w:ascii="仿宋_GB2312" w:eastAsia="仿宋_GB2312" w:hAnsi="仿宋" w:hint="eastAsia"/>
          <w:b w:val="0"/>
          <w:bCs/>
          <w:color w:val="000000" w:themeColor="text1"/>
          <w:sz w:val="32"/>
          <w:szCs w:val="32"/>
        </w:rPr>
        <w:t>完成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65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工资和福利支出（类）基本工资（款）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: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398.96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87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4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lastRenderedPageBreak/>
        <w:t>2.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工资和福利支出（类）津贴补贴（款）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: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263.2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93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3.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奖金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（款）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: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243.96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4.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工资和福利支出（类）机关事业单位基本养老保险缴费（款）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: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100.53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65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26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，主要原因为截止目前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机关事业单位基本养老保险缴费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缴至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8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月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5.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工资和福利支出（类）职工基本医疗保险缴费（款）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: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54.43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6.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工资和福利支出（类）其他社会保障缴费（款）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: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0.2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7.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工资和福利支出（类）其他工资福利支出（款）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: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91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，主要原因为该款项为调整预算追加款项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11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月下达指标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8.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商品和服务支出（类）办公费（款）：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17.07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商品和服务支出（类）印刷费（款）：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4.8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商品和服务支出（类）水费（款）：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28.67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11.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商品和服务支出（类）邮电费（款）：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17.47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lastRenderedPageBreak/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12.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商品和服务支出（类）物业管理费（款）：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14.67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13.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商品和服务支出（类）差旅费（款）：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70.37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6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14.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商品和服务支出（类）维修（护）费（款）：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14.2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15.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商品和服务支出（类）会议费（款）：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1.37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91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，主要原因为截至目前尚未发生会议费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16.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商品和服务支出（类）培训费（款）：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4.42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17.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商品和服务支出（类）公务接待费（款）：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1.45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43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48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，主要原因为厉行节约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18.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商品和服务支出（类）劳务费（款）：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84.41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19.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商品和服务支出（类）工会经费（款）：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3.68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20.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商品和服务支出（类）福利费（款）：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27.41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21.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商品和服务支出（类）公务用车运行维护费（款）：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 xml:space="preserve">27.23 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84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5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lastRenderedPageBreak/>
        <w:t>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22.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商品和服务支出（类）其他交通费用（款）：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60.87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84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5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23.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商品和服务支出（类）其他商品和服务支出（款）：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183.75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72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，主要原因为该款项内主要为中央政法转移支付资金，包括办案费及装备费，该款项使用期限为两年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24.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对个人和家庭的补助（类）奖励金（款）：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0.13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25.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对个人和家庭的补助（类）其他个人和家庭的补助支出（款）：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198.93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26.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资本性支出（类）大型修缮（款）：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0.38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27.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资本性支出（类）信息网络及软件购置更新（款）：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6.41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35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56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，主要原因为部分保证金年末支付。</w:t>
      </w:r>
    </w:p>
    <w:p w:rsidR="00E751B2" w:rsidRDefault="00B833A5">
      <w:pPr>
        <w:spacing w:line="590" w:lineRule="exact"/>
        <w:ind w:firstLineChars="200" w:firstLine="640"/>
        <w:rPr>
          <w:rStyle w:val="a7"/>
          <w:rFonts w:ascii="仿宋_GB2312" w:eastAsia="仿宋_GB2312" w:hAnsi="仿宋"/>
          <w:b w:val="0"/>
          <w:bCs/>
          <w:color w:val="000000"/>
          <w:sz w:val="32"/>
          <w:szCs w:val="32"/>
        </w:rPr>
      </w:pP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28.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其他支出（类）其他支出（款）：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支出数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3.79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0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%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，与序时进度相差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91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个百分点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，主要原因为部分保证金年末支付</w:t>
      </w:r>
      <w:r>
        <w:rPr>
          <w:rStyle w:val="a7"/>
          <w:rFonts w:ascii="仿宋_GB2312" w:eastAsia="仿宋_GB2312" w:hAnsi="仿宋" w:hint="eastAsia"/>
          <w:b w:val="0"/>
          <w:bCs/>
          <w:color w:val="000000"/>
          <w:sz w:val="32"/>
          <w:szCs w:val="32"/>
        </w:rPr>
        <w:t>。</w:t>
      </w:r>
    </w:p>
    <w:p w:rsidR="00E751B2" w:rsidRDefault="00B833A5">
      <w:pPr>
        <w:spacing w:line="590" w:lineRule="exact"/>
        <w:ind w:firstLineChars="200" w:firstLine="640"/>
        <w:outlineLvl w:val="1"/>
        <w:rPr>
          <w:rStyle w:val="2Char"/>
          <w:rFonts w:ascii="仿宋_GB2312" w:eastAsia="仿宋_GB2312" w:hAnsi="黑体"/>
          <w:b w:val="0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（三）政府性基金</w:t>
      </w:r>
      <w:r>
        <w:rPr>
          <w:rStyle w:val="2Char"/>
          <w:rFonts w:ascii="仿宋_GB2312" w:eastAsia="仿宋_GB2312" w:hAnsi="黑体" w:hint="eastAsia"/>
          <w:b w:val="0"/>
        </w:rPr>
        <w:t>预算财政拨款支出情况说明</w:t>
      </w:r>
    </w:p>
    <w:p w:rsidR="00E751B2" w:rsidRDefault="00B833A5">
      <w:pPr>
        <w:spacing w:line="590" w:lineRule="exact"/>
        <w:ind w:firstLineChars="200" w:firstLine="640"/>
        <w:outlineLvl w:val="1"/>
        <w:rPr>
          <w:rStyle w:val="2Char"/>
          <w:rFonts w:ascii="仿宋_GB2312" w:eastAsia="仿宋_GB2312" w:hAnsi="黑体"/>
          <w:b w:val="0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我单位无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政府性基金</w:t>
      </w:r>
      <w:r>
        <w:rPr>
          <w:rStyle w:val="2Char"/>
          <w:rFonts w:ascii="仿宋_GB2312" w:eastAsia="仿宋_GB2312" w:hAnsi="黑体" w:hint="eastAsia"/>
          <w:b w:val="0"/>
        </w:rPr>
        <w:t>预算财政拨款支出</w:t>
      </w:r>
      <w:r>
        <w:rPr>
          <w:rStyle w:val="2Char"/>
          <w:rFonts w:ascii="仿宋_GB2312" w:eastAsia="仿宋_GB2312" w:hAnsi="黑体" w:hint="eastAsia"/>
          <w:b w:val="0"/>
        </w:rPr>
        <w:t>。</w:t>
      </w:r>
    </w:p>
    <w:p w:rsidR="00E751B2" w:rsidRDefault="00B833A5"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黑体" w:eastAsia="黑体" w:hint="eastAsia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 w:rsidR="00E751B2" w:rsidRDefault="00B833A5">
      <w:pPr>
        <w:spacing w:line="59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截至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广安市检察院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“三公”经费财政拨款支出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28.58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万元，完成预算的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，较上年同期降低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其中：因公出国（境）费支出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万元，占预算的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，同比增长（降低）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%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；公务用车购置及运行维护费支出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27.13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万元，占预算的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，同比降低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同比降低的原因是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年一般执勤执法用车减少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辆，同时全年厉行节约提倡公共交通出行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；公务接待费支出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1.45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万元，占预算的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，同比降低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%,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同比降低的原因是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接待次数人数减少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751B2" w:rsidRDefault="00B833A5">
      <w:pPr>
        <w:pStyle w:val="2"/>
        <w:spacing w:line="590" w:lineRule="exact"/>
        <w:rPr>
          <w:rFonts w:ascii="仿宋_GB2312" w:eastAsia="仿宋_GB2312" w:hAnsi="仿宋"/>
          <w:b w:val="0"/>
          <w:color w:val="000000"/>
        </w:rPr>
      </w:pPr>
      <w:bookmarkStart w:id="24" w:name="_Toc15396619"/>
      <w:r>
        <w:rPr>
          <w:rFonts w:ascii="仿宋_GB2312" w:eastAsia="仿宋_GB2312" w:hAnsi="仿宋" w:hint="eastAsia"/>
          <w:b w:val="0"/>
          <w:color w:val="000000"/>
        </w:rPr>
        <w:t>附件</w:t>
      </w:r>
      <w:r>
        <w:rPr>
          <w:rFonts w:ascii="仿宋_GB2312" w:eastAsia="仿宋_GB2312" w:hAnsi="仿宋" w:hint="eastAsia"/>
          <w:b w:val="0"/>
          <w:color w:val="000000"/>
        </w:rPr>
        <w:t xml:space="preserve"> </w:t>
      </w:r>
      <w:r>
        <w:rPr>
          <w:rFonts w:ascii="仿宋_GB2312" w:eastAsia="仿宋_GB2312" w:hAnsi="仿宋" w:hint="eastAsia"/>
          <w:b w:val="0"/>
          <w:color w:val="000000"/>
        </w:rPr>
        <w:t>一</w:t>
      </w:r>
      <w:bookmarkStart w:id="25" w:name="_Toc15396620"/>
      <w:bookmarkEnd w:id="24"/>
      <w:r>
        <w:rPr>
          <w:rFonts w:ascii="仿宋_GB2312" w:eastAsia="仿宋_GB2312" w:hAnsi="仿宋" w:hint="eastAsia"/>
          <w:b w:val="0"/>
          <w:color w:val="000000"/>
        </w:rPr>
        <w:t>.</w:t>
      </w:r>
      <w:r>
        <w:rPr>
          <w:rFonts w:ascii="仿宋_GB2312" w:eastAsia="仿宋_GB2312" w:hAnsi="仿宋" w:hint="eastAsia"/>
          <w:b w:val="0"/>
          <w:color w:val="000000"/>
        </w:rPr>
        <w:t>一般公共预算拨款支出明细表</w:t>
      </w:r>
      <w:r>
        <w:rPr>
          <w:rFonts w:ascii="仿宋_GB2312" w:eastAsia="仿宋_GB2312" w:hAnsi="仿宋" w:hint="eastAsia"/>
          <w:b w:val="0"/>
          <w:color w:val="000000"/>
        </w:rPr>
        <w:t>(</w:t>
      </w:r>
      <w:r>
        <w:rPr>
          <w:rFonts w:ascii="仿宋_GB2312" w:eastAsia="仿宋_GB2312" w:hAnsi="仿宋" w:hint="eastAsia"/>
          <w:b w:val="0"/>
          <w:color w:val="000000"/>
        </w:rPr>
        <w:t>公开</w:t>
      </w:r>
      <w:r>
        <w:rPr>
          <w:rFonts w:ascii="仿宋_GB2312" w:eastAsia="仿宋_GB2312" w:hAnsi="仿宋" w:hint="eastAsia"/>
          <w:b w:val="0"/>
          <w:color w:val="000000"/>
        </w:rPr>
        <w:t>01</w:t>
      </w:r>
      <w:r>
        <w:rPr>
          <w:rFonts w:ascii="仿宋_GB2312" w:eastAsia="仿宋_GB2312" w:hAnsi="仿宋" w:hint="eastAsia"/>
          <w:b w:val="0"/>
          <w:color w:val="000000"/>
        </w:rPr>
        <w:t>表</w:t>
      </w:r>
      <w:r>
        <w:rPr>
          <w:rFonts w:ascii="仿宋_GB2312" w:eastAsia="仿宋_GB2312" w:hAnsi="仿宋" w:hint="eastAsia"/>
          <w:b w:val="0"/>
          <w:color w:val="000000"/>
        </w:rPr>
        <w:t>)</w:t>
      </w:r>
    </w:p>
    <w:p w:rsidR="00E751B2" w:rsidRDefault="00B833A5">
      <w:pPr>
        <w:pStyle w:val="2"/>
        <w:spacing w:line="590" w:lineRule="exact"/>
        <w:ind w:firstLineChars="250" w:firstLine="800"/>
        <w:rPr>
          <w:rFonts w:ascii="仿宋_GB2312" w:eastAsia="仿宋_GB2312" w:hAnsi="仿宋"/>
          <w:b w:val="0"/>
          <w:color w:val="000000"/>
        </w:rPr>
      </w:pPr>
      <w:r>
        <w:rPr>
          <w:rFonts w:ascii="仿宋_GB2312" w:eastAsia="仿宋_GB2312" w:hAnsi="仿宋" w:hint="eastAsia"/>
          <w:b w:val="0"/>
          <w:color w:val="000000"/>
        </w:rPr>
        <w:t>二</w:t>
      </w:r>
      <w:bookmarkStart w:id="26" w:name="_Toc15396621"/>
      <w:bookmarkEnd w:id="25"/>
      <w:r>
        <w:rPr>
          <w:rFonts w:ascii="仿宋_GB2312" w:eastAsia="仿宋_GB2312" w:hAnsi="仿宋" w:hint="eastAsia"/>
          <w:b w:val="0"/>
          <w:color w:val="000000"/>
        </w:rPr>
        <w:t>.</w:t>
      </w:r>
      <w:r>
        <w:rPr>
          <w:rFonts w:ascii="仿宋_GB2312" w:eastAsia="仿宋_GB2312" w:hAnsi="仿宋" w:hint="eastAsia"/>
          <w:b w:val="0"/>
          <w:color w:val="000000"/>
        </w:rPr>
        <w:t>政府性基金预算拨款支出明细表</w:t>
      </w:r>
      <w:r>
        <w:rPr>
          <w:rFonts w:ascii="仿宋_GB2312" w:eastAsia="仿宋_GB2312" w:hAnsi="仿宋" w:hint="eastAsia"/>
          <w:b w:val="0"/>
          <w:color w:val="000000"/>
        </w:rPr>
        <w:t>(</w:t>
      </w:r>
      <w:r>
        <w:rPr>
          <w:rFonts w:ascii="仿宋_GB2312" w:eastAsia="仿宋_GB2312" w:hAnsi="仿宋" w:hint="eastAsia"/>
          <w:b w:val="0"/>
          <w:color w:val="000000"/>
        </w:rPr>
        <w:t>公开</w:t>
      </w:r>
      <w:r>
        <w:rPr>
          <w:rFonts w:ascii="仿宋_GB2312" w:eastAsia="仿宋_GB2312" w:hAnsi="仿宋" w:hint="eastAsia"/>
          <w:b w:val="0"/>
          <w:color w:val="000000"/>
        </w:rPr>
        <w:t>02</w:t>
      </w:r>
      <w:r>
        <w:rPr>
          <w:rFonts w:ascii="仿宋_GB2312" w:eastAsia="仿宋_GB2312" w:hAnsi="仿宋" w:hint="eastAsia"/>
          <w:b w:val="0"/>
          <w:color w:val="000000"/>
        </w:rPr>
        <w:t>表</w:t>
      </w:r>
      <w:r>
        <w:rPr>
          <w:rFonts w:ascii="仿宋_GB2312" w:eastAsia="仿宋_GB2312" w:hAnsi="仿宋" w:hint="eastAsia"/>
          <w:b w:val="0"/>
          <w:color w:val="000000"/>
        </w:rPr>
        <w:t>)</w:t>
      </w:r>
    </w:p>
    <w:p w:rsidR="00E751B2" w:rsidRDefault="00B833A5">
      <w:pPr>
        <w:pStyle w:val="2"/>
        <w:spacing w:line="590" w:lineRule="exact"/>
        <w:ind w:firstLineChars="250" w:firstLine="800"/>
        <w:rPr>
          <w:rFonts w:ascii="仿宋_GB2312" w:eastAsia="仿宋_GB2312" w:hAnsi="仿宋"/>
          <w:b w:val="0"/>
          <w:color w:val="000000"/>
        </w:rPr>
      </w:pPr>
      <w:r>
        <w:rPr>
          <w:rStyle w:val="2Char"/>
          <w:rFonts w:ascii="仿宋_GB2312" w:eastAsia="仿宋_GB2312" w:hAnsi="仿宋" w:hint="eastAsia"/>
        </w:rPr>
        <w:t>三</w:t>
      </w:r>
      <w:bookmarkEnd w:id="26"/>
      <w:r>
        <w:rPr>
          <w:rStyle w:val="2Char"/>
          <w:rFonts w:ascii="仿宋_GB2312" w:eastAsia="仿宋_GB2312" w:hAnsi="仿宋" w:hint="eastAsia"/>
        </w:rPr>
        <w:t>.</w:t>
      </w:r>
      <w:r>
        <w:rPr>
          <w:rFonts w:ascii="仿宋_GB2312" w:eastAsia="仿宋_GB2312" w:hAnsi="仿宋" w:hint="eastAsia"/>
          <w:b w:val="0"/>
          <w:color w:val="000000"/>
        </w:rPr>
        <w:t>三公经费预算拨款支出明细表</w:t>
      </w:r>
      <w:r>
        <w:rPr>
          <w:rFonts w:ascii="仿宋_GB2312" w:eastAsia="仿宋_GB2312" w:hAnsi="仿宋" w:hint="eastAsia"/>
          <w:b w:val="0"/>
          <w:color w:val="000000"/>
        </w:rPr>
        <w:t>(</w:t>
      </w:r>
      <w:r>
        <w:rPr>
          <w:rFonts w:ascii="仿宋_GB2312" w:eastAsia="仿宋_GB2312" w:hAnsi="仿宋" w:hint="eastAsia"/>
          <w:b w:val="0"/>
          <w:color w:val="000000"/>
        </w:rPr>
        <w:t>公开</w:t>
      </w:r>
      <w:r>
        <w:rPr>
          <w:rFonts w:ascii="仿宋_GB2312" w:eastAsia="仿宋_GB2312" w:hAnsi="仿宋" w:hint="eastAsia"/>
          <w:b w:val="0"/>
          <w:color w:val="000000"/>
        </w:rPr>
        <w:t>03</w:t>
      </w:r>
      <w:r>
        <w:rPr>
          <w:rFonts w:ascii="仿宋_GB2312" w:eastAsia="仿宋_GB2312" w:hAnsi="仿宋" w:hint="eastAsia"/>
          <w:b w:val="0"/>
          <w:color w:val="000000"/>
        </w:rPr>
        <w:t>表</w:t>
      </w:r>
      <w:r>
        <w:rPr>
          <w:rFonts w:ascii="仿宋_GB2312" w:eastAsia="仿宋_GB2312" w:hAnsi="仿宋" w:hint="eastAsia"/>
          <w:b w:val="0"/>
          <w:color w:val="000000"/>
        </w:rPr>
        <w:t>)</w:t>
      </w:r>
    </w:p>
    <w:p w:rsidR="00E751B2" w:rsidRDefault="00E751B2">
      <w:pPr>
        <w:spacing w:line="590" w:lineRule="exact"/>
        <w:rPr>
          <w:rFonts w:ascii="仿宋_GB2312" w:eastAsia="仿宋_GB2312"/>
          <w:sz w:val="32"/>
          <w:szCs w:val="32"/>
        </w:rPr>
      </w:pPr>
    </w:p>
    <w:p w:rsidR="00E751B2" w:rsidRDefault="00B833A5">
      <w:pPr>
        <w:spacing w:line="590" w:lineRule="exact"/>
        <w:ind w:left="5280" w:hangingChars="1650" w:hanging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广安市人民检察院</w:t>
      </w:r>
    </w:p>
    <w:p w:rsidR="00E751B2" w:rsidRDefault="00B833A5">
      <w:pPr>
        <w:spacing w:line="590" w:lineRule="exact"/>
        <w:ind w:left="4960" w:hangingChars="1550" w:hanging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751B2" w:rsidRDefault="00E751B2">
      <w:pPr>
        <w:pStyle w:val="2"/>
        <w:spacing w:line="590" w:lineRule="exact"/>
        <w:rPr>
          <w:rFonts w:ascii="仿宋_GB2312" w:eastAsia="仿宋_GB2312" w:hAnsi="仿宋"/>
          <w:color w:val="000000" w:themeColor="text1"/>
        </w:rPr>
      </w:pPr>
      <w:bookmarkStart w:id="27" w:name="_GoBack"/>
      <w:bookmarkEnd w:id="27"/>
    </w:p>
    <w:sectPr w:rsidR="00E751B2" w:rsidSect="00E751B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A5" w:rsidRDefault="00B833A5" w:rsidP="00E751B2">
      <w:r>
        <w:separator/>
      </w:r>
    </w:p>
  </w:endnote>
  <w:endnote w:type="continuationSeparator" w:id="0">
    <w:p w:rsidR="00B833A5" w:rsidRDefault="00B833A5" w:rsidP="00E7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B2" w:rsidRDefault="00E751B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A5" w:rsidRDefault="00B833A5" w:rsidP="00E751B2">
      <w:r>
        <w:separator/>
      </w:r>
    </w:p>
  </w:footnote>
  <w:footnote w:type="continuationSeparator" w:id="0">
    <w:p w:rsidR="00B833A5" w:rsidRDefault="00B833A5" w:rsidP="00E7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1B2" w:rsidRDefault="00E751B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6DC25"/>
    <w:multiLevelType w:val="singleLevel"/>
    <w:tmpl w:val="7E46DC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64312"/>
    <w:rsid w:val="00B77EA6"/>
    <w:rsid w:val="00B81598"/>
    <w:rsid w:val="00B833A5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751B2"/>
    <w:rsid w:val="00E82267"/>
    <w:rsid w:val="00EA010F"/>
    <w:rsid w:val="00EA62E1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10C055FF"/>
    <w:rsid w:val="16BB723D"/>
    <w:rsid w:val="240371BF"/>
    <w:rsid w:val="29FD04D3"/>
    <w:rsid w:val="319F7F4E"/>
    <w:rsid w:val="3A4A64D8"/>
    <w:rsid w:val="3F4A167B"/>
    <w:rsid w:val="495E6330"/>
    <w:rsid w:val="4F131EE8"/>
    <w:rsid w:val="61244BAB"/>
    <w:rsid w:val="63F5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51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51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51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751B2"/>
    <w:pPr>
      <w:spacing w:beforeLines="30"/>
    </w:pPr>
    <w:rPr>
      <w:rFonts w:ascii="仿宋_GB2312" w:eastAsia="仿宋_GB2312"/>
      <w:kern w:val="0"/>
      <w:sz w:val="30"/>
    </w:rPr>
  </w:style>
  <w:style w:type="paragraph" w:styleId="30">
    <w:name w:val="toc 3"/>
    <w:basedOn w:val="a"/>
    <w:next w:val="a"/>
    <w:uiPriority w:val="39"/>
    <w:unhideWhenUsed/>
    <w:qFormat/>
    <w:rsid w:val="00E751B2"/>
    <w:pPr>
      <w:tabs>
        <w:tab w:val="right" w:leader="dot" w:pos="8296"/>
      </w:tabs>
      <w:ind w:leftChars="400" w:left="84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751B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751B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E75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751B2"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E751B2"/>
    <w:pPr>
      <w:tabs>
        <w:tab w:val="right" w:leader="dot" w:pos="8296"/>
      </w:tabs>
      <w:ind w:leftChars="200" w:left="420"/>
    </w:pPr>
  </w:style>
  <w:style w:type="character" w:styleId="a7">
    <w:name w:val="Strong"/>
    <w:basedOn w:val="a0"/>
    <w:uiPriority w:val="99"/>
    <w:qFormat/>
    <w:rsid w:val="00E751B2"/>
    <w:rPr>
      <w:b/>
    </w:rPr>
  </w:style>
  <w:style w:type="character" w:styleId="a8">
    <w:name w:val="Hyperlink"/>
    <w:basedOn w:val="a0"/>
    <w:uiPriority w:val="99"/>
    <w:unhideWhenUsed/>
    <w:rsid w:val="00E751B2"/>
    <w:rPr>
      <w:color w:val="0000FF" w:themeColor="hyperlink"/>
      <w:u w:val="single"/>
    </w:rPr>
  </w:style>
  <w:style w:type="character" w:customStyle="1" w:styleId="HeaderChar">
    <w:name w:val="Header Char"/>
    <w:basedOn w:val="a0"/>
    <w:uiPriority w:val="99"/>
    <w:semiHidden/>
    <w:rsid w:val="00E751B2"/>
    <w:rPr>
      <w:rFonts w:ascii="Times New Roman" w:hAnsi="Times New Roman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E751B2"/>
    <w:rPr>
      <w:sz w:val="18"/>
    </w:rPr>
  </w:style>
  <w:style w:type="character" w:customStyle="1" w:styleId="FooterChar">
    <w:name w:val="Footer Char"/>
    <w:basedOn w:val="a0"/>
    <w:uiPriority w:val="99"/>
    <w:semiHidden/>
    <w:rsid w:val="00E751B2"/>
    <w:rPr>
      <w:rFonts w:ascii="Times New Roman" w:hAnsi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sid w:val="00E751B2"/>
    <w:rPr>
      <w:sz w:val="18"/>
    </w:rPr>
  </w:style>
  <w:style w:type="character" w:customStyle="1" w:styleId="BodyTextChar">
    <w:name w:val="Body Text Char"/>
    <w:basedOn w:val="a0"/>
    <w:uiPriority w:val="99"/>
    <w:semiHidden/>
    <w:rsid w:val="00E751B2"/>
    <w:rPr>
      <w:rFonts w:ascii="Times New Roman" w:hAnsi="Times New Roman"/>
      <w:szCs w:val="24"/>
    </w:rPr>
  </w:style>
  <w:style w:type="character" w:customStyle="1" w:styleId="Char">
    <w:name w:val="正文文本 Char"/>
    <w:link w:val="a3"/>
    <w:uiPriority w:val="99"/>
    <w:locked/>
    <w:rsid w:val="00E751B2"/>
    <w:rPr>
      <w:rFonts w:ascii="仿宋_GB2312" w:eastAsia="仿宋_GB2312" w:hAnsi="Times New Roman"/>
      <w:sz w:val="24"/>
    </w:rPr>
  </w:style>
  <w:style w:type="paragraph" w:customStyle="1" w:styleId="Default">
    <w:name w:val="Default"/>
    <w:uiPriority w:val="99"/>
    <w:rsid w:val="00E751B2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751B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751B2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751B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E751B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sid w:val="00E751B2"/>
    <w:rPr>
      <w:rFonts w:ascii="Times New Roman" w:hAnsi="Times New Roman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751B2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3D144-B1EC-4B1D-BAC5-EDA3E1B9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</Words>
  <Characters>2280</Characters>
  <Application>Microsoft Office Word</Application>
  <DocSecurity>0</DocSecurity>
  <Lines>19</Lines>
  <Paragraphs>5</Paragraphs>
  <ScaleCrop>false</ScaleCrop>
  <Company>四川省财政厅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四川省***</dc:title>
  <dc:creator>张彬茜</dc:creator>
  <cp:lastModifiedBy>Administrator</cp:lastModifiedBy>
  <cp:revision>2</cp:revision>
  <cp:lastPrinted>2019-12-06T02:55:00Z</cp:lastPrinted>
  <dcterms:created xsi:type="dcterms:W3CDTF">2019-12-18T10:12:00Z</dcterms:created>
  <dcterms:modified xsi:type="dcterms:W3CDTF">2019-12-18T10:12:00Z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